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sz w:val="22"/>
        </w:rPr>
        <w:t>Гриф обмеження доступу: «ЦІЛКОМ ТАЄМНО»</w:t>
        <w:br/>
        <w:t>Прим. № ____   (проєкт — до затвердження КСЗІ)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sz w:val="22"/>
              </w:rPr>
              <w:t>ПОГОДЖЕНО</w:t>
              <w:br/>
              <w:t>Генеральний директор ВИКОНАВЦЯ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  <w:tc>
          <w:tcPr>
            <w:tcW w:type="dxa" w:w="4320"/>
          </w:tcPr>
          <w:p>
            <w:r>
              <w:rPr>
                <w:sz w:val="22"/>
              </w:rPr>
              <w:t>ЗАТВЕРДЖУЮ</w:t>
              <w:br/>
              <w:t>Генеральний директор</w:t>
              <w:br/>
              <w:t>НЕК «УКРЕНЕРГО»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</w:tr>
    </w:tbl>
    <w:p/>
    <w:p/>
    <w:p/>
    <w:p>
      <w:pPr>
        <w:jc w:val="center"/>
      </w:pPr>
      <w:r>
        <w:rPr>
          <w:b/>
          <w:sz w:val="28"/>
        </w:rPr>
        <w:t>АВТОМАТИЗОВАНА СИСТЕМА</w:t>
      </w:r>
    </w:p>
    <w:p>
      <w:pPr>
        <w:jc w:val="center"/>
      </w:pPr>
      <w:r>
        <w:rPr>
          <w:b/>
          <w:sz w:val="32"/>
        </w:rPr>
        <w:t>«Комплект із трьох самостійних продуктів для ОЕС України»</w:t>
      </w:r>
    </w:p>
    <w:p>
      <w:pPr>
        <w:jc w:val="center"/>
      </w:pPr>
      <w:r>
        <w:rPr>
          <w:b w:val="0"/>
          <w:sz w:val="24"/>
        </w:rPr>
        <w:t>(3П ОЕС)</w:t>
      </w:r>
    </w:p>
    <w:p>
      <w:pPr>
        <w:jc w:val="center"/>
      </w:pPr>
      <w:r>
        <w:rPr>
          <w:b w:val="0"/>
          <w:sz w:val="24"/>
        </w:rPr>
      </w:r>
    </w:p>
    <w:p>
      <w:pPr>
        <w:jc w:val="center"/>
      </w:pPr>
      <w:r>
        <w:rPr>
          <w:b/>
          <w:sz w:val="30"/>
        </w:rPr>
        <w:t>ПЕРЕЛІК ДОКУМЕНТАЦІЇ ДЛЯ ЗАПИТУ</w:t>
        <w:br/>
        <w:t>(під NDA, Етап-2)</w:t>
      </w:r>
    </w:p>
    <w:p/>
    <w:p/>
    <w:p>
      <w:pPr>
        <w:jc w:val="center"/>
      </w:pPr>
      <w:r>
        <w:rPr>
          <w:sz w:val="22"/>
        </w:rPr>
        <w:t>Позначення документа: UE-3PROD.DR</w:t>
      </w:r>
    </w:p>
    <w:p>
      <w:pPr>
        <w:jc w:val="center"/>
      </w:pPr>
      <w:r>
        <w:rPr>
          <w:sz w:val="22"/>
        </w:rPr>
        <w:t>Кількість аркушів: ____</w:t>
      </w:r>
    </w:p>
    <w:p>
      <w:pPr>
        <w:jc w:val="center"/>
      </w:pPr>
      <w:r>
        <w:rPr>
          <w:sz w:val="22"/>
        </w:rPr>
        <w:t>Редакція: 1.0</w:t>
      </w:r>
    </w:p>
    <w:p/>
    <w:p/>
    <w:p>
      <w:pPr>
        <w:ind w:firstLine="0"/>
        <w:jc w:val="center"/>
      </w:pPr>
      <w:r>
        <w:rPr>
          <w:b/>
          <w:sz w:val="22"/>
        </w:rPr>
        <w:t>ПРИВАТНЕ АКЦІОНЕРНЕ ТОВАРИСТВО «НАЦІОНАЛЬНА ЕНЕРГЕТИЧНА КОМПАНІЯ «УКРЕНЕРГО»</w:t>
      </w:r>
    </w:p>
    <w:p>
      <w:pPr>
        <w:ind w:firstLine="0"/>
        <w:jc w:val="center"/>
      </w:pPr>
      <w:r>
        <w:rPr>
          <w:i/>
          <w:sz w:val="20"/>
        </w:rPr>
        <w:t>Замовник: ПрАТ «НЕК «УКРЕНЕРГО» · код ЄДРПОУ 00100227 · 01032, м. Київ, вул. Симона Петлюри, 25</w:t>
      </w:r>
    </w:p>
    <w:p/>
    <w:p/>
    <w:p>
      <w:pPr>
        <w:ind w:firstLine="0"/>
        <w:jc w:val="center"/>
      </w:pPr>
      <w:r>
        <w:rPr>
          <w:sz w:val="24"/>
        </w:rPr>
        <w:t>Київ</w:t>
      </w:r>
    </w:p>
    <w:p>
      <w:pPr>
        <w:ind w:firstLine="0"/>
        <w:jc w:val="center"/>
      </w:pPr>
      <w:r>
        <w:rPr>
          <w:sz w:val="24"/>
        </w:rPr>
        <w:t>2026</w:t>
      </w:r>
    </w:p>
    <w:p>
      <w:r>
        <w:br w:type="page"/>
      </w:r>
    </w:p>
    <w:p>
      <w:pPr>
        <w:pStyle w:val="Heading1"/>
      </w:pPr>
      <w:r>
        <w:t>ПЕРЕЛІК ДОКУМЕНТАЦІЇ ТА ДАНИХ ДЛЯ ЗАПИТУ У НЕК «УКРЕНЕРГО»</w:t>
      </w:r>
    </w:p>
    <w:p/>
    <w:p>
      <w:pPr>
        <w:ind w:left="454"/>
      </w:pPr>
      <w:r>
        <w:rPr>
          <w:i/>
        </w:rPr>
        <w:t>Гриф: проєкт — до затвердження КСЗІ. Документ-чеклист для зустрічі / офіційного</w:t>
      </w:r>
    </w:p>
    <w:p>
      <w:pPr>
        <w:ind w:left="454"/>
      </w:pPr>
      <w:r>
        <w:rPr>
          <w:i/>
        </w:rPr>
        <w:t>листа-запиту. Формується для переходу до Етапу-2 (реальні дані під NDA, експлуатація</w:t>
      </w:r>
    </w:p>
    <w:p>
      <w:pPr>
        <w:ind w:left="454"/>
      </w:pPr>
      <w:r>
        <w:rPr>
          <w:i/>
        </w:rPr>
        <w:t>у складі атестованого КСЗІ). Етап-1 (MVP) реалізується на синтетиці + відкритих даних і</w:t>
      </w:r>
    </w:p>
    <w:p>
      <w:pPr>
        <w:ind w:left="454"/>
      </w:pPr>
      <w:r>
        <w:rPr>
          <w:i/>
        </w:rPr>
        <w:t>цих запитів НЕ потребує.</w:t>
      </w:r>
    </w:p>
    <w:p/>
    <w:p>
      <w:pPr>
        <w:ind w:left="454"/>
      </w:pPr>
      <w:r>
        <w:rPr>
          <w:i/>
        </w:rPr>
        <w:t>Рамка: три самостійні продукти (A1 ризики, A2 нагляд РСВ/ВСР, A3 втрати/закупівлі),</w:t>
      </w:r>
    </w:p>
    <w:p>
      <w:pPr>
        <w:ind w:left="454"/>
      </w:pPr>
      <w:r>
        <w:rPr>
          <w:i/>
        </w:rPr>
        <w:t>кожен передається окремо, повна передача без залежності від розробника. Розділ «Безпека /</w:t>
      </w:r>
    </w:p>
    <w:p>
      <w:pPr>
        <w:ind w:left="454"/>
      </w:pPr>
      <w:r>
        <w:rPr>
          <w:i/>
        </w:rPr>
        <w:t>КСЗІ» — наскрізний для всіх трьох продуктів. Опціональна інтеграційна шина (BUS) окремих</w:t>
      </w:r>
    </w:p>
    <w:p>
      <w:pPr>
        <w:ind w:left="454"/>
      </w:pPr>
      <w:r>
        <w:rPr>
          <w:i/>
        </w:rPr>
        <w:t>даних не потребує.</w:t>
      </w:r>
    </w:p>
    <w:p/>
    <w:p>
      <w:pPr>
        <w:ind w:left="454"/>
      </w:pPr>
      <w:r>
        <w:rPr>
          <w:i/>
        </w:rPr>
        <w:t>Позначення режиму: ДСК — для службового користування; NDA — за угодою про</w:t>
      </w:r>
    </w:p>
    <w:p>
      <w:pPr>
        <w:ind w:left="454"/>
      </w:pPr>
      <w:r>
        <w:rPr>
          <w:i/>
        </w:rPr>
        <w:t>нерозголошення на захищеному контурі; ДТ — відомості, що становлять державну таємницю.</w:t>
      </w:r>
    </w:p>
    <w:p>
      <w:pPr>
        <w:ind w:left="454"/>
      </w:pPr>
      <w:r>
        <w:rPr>
          <w:i/>
        </w:rPr>
        <w:t>Пріоритет: 🔴 блокер Етапу-2 (без нього домен не реалізується); 🟡 бажано (деталізує).</w:t>
      </w:r>
    </w:p>
    <w:p/>
    <w:p>
      <w:pPr>
        <w:ind w:left="454"/>
      </w:pPr>
      <w:r>
        <w:rPr>
          <w:i/>
        </w:rPr>
        <w:t>Послідовність запиту: спершу «Безпека / КСЗІ» (визначає режим і контур робіт), далі</w:t>
      </w:r>
    </w:p>
    <w:p>
      <w:pPr>
        <w:ind w:left="454"/>
      </w:pPr>
      <w:r>
        <w:rPr>
          <w:i/>
        </w:rPr>
        <w:t>A1 + A3 (готові домени), потім A2. Кожен продукт можна запитувати незалежно — вони самостійні.</w:t>
      </w:r>
    </w:p>
    <w:p/>
    <w:p/>
    <w:p/>
    <w:p>
      <w:pPr>
        <w:pStyle w:val="Heading2"/>
      </w:pPr>
      <w:r>
        <w:t>A1 — Перелік документації та даних, що запитуються у НЕК «Укренерго» (Етап-2)</w:t>
      </w:r>
    </w:p>
    <w:p/>
    <w:p>
      <w:pPr>
        <w:ind w:left="454"/>
      </w:pPr>
      <w:r>
        <w:rPr>
          <w:i/>
        </w:rPr>
        <w:t>Домен: ризики / фізичний двійник магістральної мережі 750/330 кВ. Запит формується для переходу до Етапу-2 (реальні дані під NDA, експлуатація у складі КСЗІ). Режими: ДСК — для службового користування; NDA — за угодою про нерозголошення на захищеному контурі; ДТ — відомості, що становлять державну таємницю.</w:t>
      </w:r>
    </w:p>
    <w:p/>
    <w:p>
      <w:pPr>
        <w:pStyle w:val="Heading3"/>
      </w:pPr>
      <w:r>
        <w:t>Тема 1. Топологія та паспортні параметри мережі</w:t>
      </w:r>
    </w:p>
    <w:p/>
    <w:p>
      <w:r>
        <w:t>1.1. Цифрова модель топології ОЕС 750/330(/110) кВ</w:t>
      </w:r>
    </w:p>
    <w:p>
      <w:pPr>
        <w:pStyle w:val="ListBullet"/>
      </w:pPr>
      <w:r>
        <w:t>*Навіщо:* база для двійника — вузли, лінії, трансформатори зв'язку, шунтуючі реактори (закриває §3.1, §4.2 інформаційне забезпечення, Q1, Q2; без неї не реалізуються FR-1.1.x, FR-1.2.x).</w:t>
      </w:r>
    </w:p>
    <w:p>
      <w:pPr>
        <w:pStyle w:val="ListBullet"/>
      </w:pPr>
      <w:r>
        <w:t>*Формат/джерело:* єдина CIM-модель (IEC 61970) або експорт PSS/E `.raw` / RastrWin, або ГІС-шар реєстру активів; зазначити власника та регламент оновлення.</w:t>
      </w:r>
    </w:p>
    <w:p>
      <w:pPr>
        <w:pStyle w:val="ListBullet"/>
      </w:pPr>
      <w:r>
        <w:t>*Режим:* NDA (реальна топологія ОЕС = NDA_CALIBRATED).</w:t>
      </w:r>
    </w:p>
    <w:p>
      <w:pPr>
        <w:pStyle w:val="ListBullet"/>
      </w:pPr>
      <w:r>
        <w:t>*Пріоритет:* 🔴 блокер.</w:t>
      </w:r>
    </w:p>
    <w:p/>
    <w:p>
      <w:r>
        <w:t>1.2. Паспортні електричні параметри об'єктів</w:t>
      </w:r>
    </w:p>
    <w:p>
      <w:pPr>
        <w:pStyle w:val="ListBullet"/>
      </w:pPr>
      <w:r>
        <w:t>*Навіщо:* активний/реактивний опір ліній, межі пропускної здатності, паспорти АТ/реакторів — без них неможливий розрахунок режиму (§4.2, FR-1.2.5, Q3).</w:t>
      </w:r>
    </w:p>
    <w:p>
      <w:pPr>
        <w:pStyle w:val="ListBullet"/>
      </w:pPr>
      <w:r>
        <w:t>*Формат/джерело:* атрибути в CIM/PSS/E або табличні картки об'єктів (приклад картки одного об'єкта).</w:t>
      </w:r>
    </w:p>
    <w:p>
      <w:pPr>
        <w:pStyle w:val="ListBullet"/>
      </w:pPr>
      <w:r>
        <w:t>*Режим:* NDA.</w:t>
      </w:r>
    </w:p>
    <w:p>
      <w:pPr>
        <w:pStyle w:val="ListBullet"/>
      </w:pPr>
      <w:r>
        <w:t>*Пріоритет:* 🔴 блокер.</w:t>
      </w:r>
    </w:p>
    <w:p/>
    <w:p>
      <w:r>
        <w:t>1.3. Регламент актуалізації топології (нове будівництво, ремонти, пошкодження)</w:t>
      </w:r>
    </w:p>
    <w:p>
      <w:pPr>
        <w:pStyle w:val="ListBullet"/>
      </w:pPr>
      <w:r>
        <w:t>*Навіщо:* двійник має відображати поточний стан мережі (§4.1 режими функціонування, Q4).</w:t>
      </w:r>
    </w:p>
    <w:p>
      <w:pPr>
        <w:pStyle w:val="ListBullet"/>
      </w:pPr>
      <w:r>
        <w:t>*Формат/джерело:* опис процесу + частота змін + механізм фіксації (наказ/реєстр виведень).</w:t>
      </w:r>
    </w:p>
    <w:p>
      <w:pPr>
        <w:pStyle w:val="ListBullet"/>
      </w:pPr>
      <w:r>
        <w:t>*Режим:* ДСК.</w:t>
      </w:r>
    </w:p>
    <w:p>
      <w:pPr>
        <w:pStyle w:val="ListBullet"/>
      </w:pPr>
      <w:r>
        <w:t>*Пріоритет:* 🟡 бажано.</w:t>
      </w:r>
    </w:p>
    <w:p/>
    <w:p>
      <w:pPr>
        <w:pStyle w:val="Heading3"/>
      </w:pPr>
      <w:r>
        <w:t>Тема 2. Режими та потокорозподіл</w:t>
      </w:r>
    </w:p>
    <w:p/>
    <w:p>
      <w:r>
        <w:t>2.1. Типові розрахункові режимні зрізи</w:t>
      </w:r>
    </w:p>
    <w:p>
      <w:pPr>
        <w:pStyle w:val="ListBullet"/>
      </w:pPr>
      <w:r>
        <w:t>*Навіщо:* зима-макс (~18 ГВт), літо-мін (~9 ГВт), післяаварійні — задають простір режимів для масового прогону та Monte Carlo (§2.3, §4.6.2, FR-1.2.1, Q6).</w:t>
      </w:r>
    </w:p>
    <w:p>
      <w:pPr>
        <w:pStyle w:val="ListBullet"/>
      </w:pPr>
      <w:r>
        <w:t>*Формат/джерело:* набори усталених режимів PSS/E `.sav` / RastrWin + графіки навантаження (CSV).</w:t>
      </w:r>
    </w:p>
    <w:p>
      <w:pPr>
        <w:pStyle w:val="ListBullet"/>
      </w:pPr>
      <w:r>
        <w:t>*Режим:* NDA.</w:t>
      </w:r>
    </w:p>
    <w:p>
      <w:pPr>
        <w:pStyle w:val="ListBullet"/>
      </w:pPr>
      <w:r>
        <w:t>*Пріоритет:* 🔴 блокер.</w:t>
      </w:r>
    </w:p>
    <w:p/>
    <w:p>
      <w:r>
        <w:t>2.2. Чинна методика та інструментарій розрахунку потокорозподілу</w:t>
      </w:r>
    </w:p>
    <w:p>
      <w:pPr>
        <w:pStyle w:val="ListBullet"/>
      </w:pPr>
      <w:r>
        <w:t>*Навіщо:* узгодити модель двійника (AC / DC / гібрид) із практикою ОДС; зафіксувати цільову точність і час перерахунку (§4.2, FR-1.2.5, Q5, Q7).</w:t>
      </w:r>
    </w:p>
    <w:p>
      <w:pPr>
        <w:pStyle w:val="ListBullet"/>
      </w:pPr>
      <w:r>
        <w:t>*Формат/джерело:* опис методу + ПЗ (PSS/E, PowerFactory, RastrWin), цільовий час одного розрахунку.</w:t>
      </w:r>
    </w:p>
    <w:p>
      <w:pPr>
        <w:pStyle w:val="ListBullet"/>
      </w:pPr>
      <w:r>
        <w:t>*Режим:* ДСК (методика) / NDA (за наявності прив'язки до реальних даних).</w:t>
      </w:r>
    </w:p>
    <w:p>
      <w:pPr>
        <w:pStyle w:val="ListBullet"/>
      </w:pPr>
      <w:r>
        <w:t>*Пріоритет:* 🔴 блокер.</w:t>
      </w:r>
    </w:p>
    <w:p/>
    <w:p>
      <w:pPr>
        <w:pStyle w:val="Heading3"/>
      </w:pPr>
      <w:r>
        <w:t>Тема 3. Критерії надійності, N-k та протиаварійна автоматика</w:t>
      </w:r>
    </w:p>
    <w:p/>
    <w:p>
      <w:r>
        <w:t>3.1. Критерії відмови об'єкта та допустимі межі</w:t>
      </w:r>
    </w:p>
    <w:p>
      <w:pPr>
        <w:pStyle w:val="ListBullet"/>
      </w:pPr>
      <w:r>
        <w:t>*Навіщо:* пороги напруги / струму / частоти — без них немає contingency-аналізу (§4.6.3, FR-1.3.1/1.3.2, Q8).</w:t>
      </w:r>
    </w:p>
    <w:p>
      <w:pPr>
        <w:pStyle w:val="ListBullet"/>
      </w:pPr>
      <w:r>
        <w:t>*Формат/джерело:* регламент/таблиця порогів (напр. U &lt; 0.9 Uном, I &gt; Iдоп) + контрольовані перерізи з межами.</w:t>
      </w:r>
    </w:p>
    <w:p>
      <w:pPr>
        <w:pStyle w:val="ListBullet"/>
      </w:pPr>
      <w:r>
        <w:t>*Режим:* NDA.</w:t>
      </w:r>
    </w:p>
    <w:p>
      <w:pPr>
        <w:pStyle w:val="ListBullet"/>
      </w:pPr>
      <w:r>
        <w:t>*Пріоритет:* 🔴 блокер.</w:t>
      </w:r>
    </w:p>
    <w:p/>
    <w:p>
      <w:r>
        <w:t>3.2. Чинний стандарт надійності та цільова глибина N-k</w:t>
      </w:r>
    </w:p>
    <w:p>
      <w:pPr>
        <w:pStyle w:val="ListBullet"/>
      </w:pPr>
      <w:r>
        <w:t>*Навіщо:* визначає обсяг прогонів (N-1 як стандарт + цільове k для сценаріїв масованих ударів) (§4.6.3, FR-1.3.1, Q9).</w:t>
      </w:r>
    </w:p>
    <w:p>
      <w:pPr>
        <w:pStyle w:val="ListBullet"/>
      </w:pPr>
      <w:r>
        <w:t>*Формат/джерело:* галузевий регламент / Кодекс системи передачі + експертне визначення глибини war-gaming.</w:t>
      </w:r>
    </w:p>
    <w:p>
      <w:pPr>
        <w:pStyle w:val="ListBullet"/>
      </w:pPr>
      <w:r>
        <w:t>*Режим:* ДСК (стандарт) / NDA (військові сценарії).</w:t>
      </w:r>
    </w:p>
    <w:p>
      <w:pPr>
        <w:pStyle w:val="ListBullet"/>
      </w:pPr>
      <w:r>
        <w:t>*Пріоритет:* 🔴 блокер.</w:t>
      </w:r>
    </w:p>
    <w:p/>
    <w:p>
      <w:r>
        <w:t>3.3. Перелік контрольованих перерізів з межами</w:t>
      </w:r>
    </w:p>
    <w:p>
      <w:pPr>
        <w:pStyle w:val="ListBullet"/>
      </w:pPr>
      <w:r>
        <w:t>*Навіщо:* готовий експертний список звужує простір пошуку вузьких місць (§4.6.3, Q10).</w:t>
      </w:r>
    </w:p>
    <w:p>
      <w:pPr>
        <w:pStyle w:val="ListBullet"/>
      </w:pPr>
      <w:r>
        <w:t>*Формат/джерело:* перелік перерізів + диспетчерські межі (табл./регламент).</w:t>
      </w:r>
    </w:p>
    <w:p>
      <w:pPr>
        <w:pStyle w:val="ListBullet"/>
      </w:pPr>
      <w:r>
        <w:t>*Режим:* NDA.</w:t>
      </w:r>
    </w:p>
    <w:p>
      <w:pPr>
        <w:pStyle w:val="ListBullet"/>
      </w:pPr>
      <w:r>
        <w:t>*Пріоритет:* 🟡 бажано.</w:t>
      </w:r>
    </w:p>
    <w:p/>
    <w:p>
      <w:r>
        <w:t>3.4. Уставки та логіка протиаварійної автоматики (АЧР, САВН, ділення системи)</w:t>
      </w:r>
    </w:p>
    <w:p>
      <w:pPr>
        <w:pStyle w:val="ListBullet"/>
      </w:pPr>
      <w:r>
        <w:t>*Навіщо:* без моделі ПА симулятор перекручує наслідки каскаду (§4.6.3, Q11, Q12).</w:t>
      </w:r>
    </w:p>
    <w:p>
      <w:pPr>
        <w:pStyle w:val="ListBullet"/>
      </w:pPr>
      <w:r>
        <w:t>*Формат/джерело:* перелік пристроїв ПА + уставки + алгоритм спрацювання; словесний опис типового каскаду.</w:t>
      </w:r>
    </w:p>
    <w:p>
      <w:pPr>
        <w:pStyle w:val="ListBullet"/>
      </w:pPr>
      <w:r>
        <w:t>*Режим:* NDA (можливі елементи ДТ для окремих об'єктів).</w:t>
      </w:r>
    </w:p>
    <w:p>
      <w:pPr>
        <w:pStyle w:val="ListBullet"/>
      </w:pPr>
      <w:r>
        <w:t>*Пріоритет:* 🔴 блокер.</w:t>
      </w:r>
    </w:p>
    <w:p/>
    <w:p>
      <w:pPr>
        <w:pStyle w:val="Heading3"/>
      </w:pPr>
      <w:r>
        <w:t>Тема 4. Каскадні відмови та час відновлення</w:t>
      </w:r>
    </w:p>
    <w:p/>
    <w:p>
      <w:r>
        <w:t>4.1. Кейси реальних каскадів і розбіжностей з розрахунком</w:t>
      </w:r>
    </w:p>
    <w:p>
      <w:pPr>
        <w:pStyle w:val="ListBullet"/>
      </w:pPr>
      <w:r>
        <w:t>*Навіщо:* калібрування логіки поширення відмови по графу (§4.6.7, Q11, Q13).</w:t>
      </w:r>
    </w:p>
    <w:p>
      <w:pPr>
        <w:pStyle w:val="ListBullet"/>
      </w:pPr>
      <w:r>
        <w:t>*Формат/джерело:* 1–2 приклади реальних каскадів із послідовністю спрацювань.</w:t>
      </w:r>
    </w:p>
    <w:p>
      <w:pPr>
        <w:pStyle w:val="ListBullet"/>
      </w:pPr>
      <w:r>
        <w:t>*Режим:* NDA.</w:t>
      </w:r>
    </w:p>
    <w:p>
      <w:pPr>
        <w:pStyle w:val="ListBullet"/>
      </w:pPr>
      <w:r>
        <w:t>*Пріоритет:* 🟡 бажано.</w:t>
      </w:r>
    </w:p>
    <w:p/>
    <w:p>
      <w:r>
        <w:t>4.2. Довідник часу відновлення обладнання за типами</w:t>
      </w:r>
    </w:p>
    <w:p>
      <w:pPr>
        <w:pStyle w:val="ListBullet"/>
      </w:pPr>
      <w:r>
        <w:t>*Навіщо:* компонент Risk Score «Відновлюваність» і прогноз timeline відновлення (§2.3, Q14, Q15).</w:t>
      </w:r>
    </w:p>
    <w:p>
      <w:pPr>
        <w:pStyle w:val="ListBullet"/>
      </w:pPr>
      <w:r>
        <w:t>*Формат/джерело:* таблиця тип обладнання (АТ 750/330, вимикачі, КРУЕ…) → час відновлення (мін/типовий/макс) + наявність резерву на складах + поправки на воєнні умови/чергу постачання.</w:t>
      </w:r>
    </w:p>
    <w:p>
      <w:pPr>
        <w:pStyle w:val="ListBullet"/>
      </w:pPr>
      <w:r>
        <w:t>*Режим:* NDA.</w:t>
      </w:r>
    </w:p>
    <w:p>
      <w:pPr>
        <w:pStyle w:val="ListBullet"/>
      </w:pPr>
      <w:r>
        <w:t>*Пріоритет:* 🔴 блокер.</w:t>
      </w:r>
    </w:p>
    <w:p/>
    <w:p>
      <w:pPr>
        <w:pStyle w:val="Heading3"/>
      </w:pPr>
      <w:r>
        <w:t>Тема 5. Методика оцінки ризику (Risk Score та Pareto)</w:t>
      </w:r>
    </w:p>
    <w:p/>
    <w:p>
      <w:r>
        <w:t>5.1. Чинна ручна методика оцінки критичності/ризику об'єктів</w:t>
      </w:r>
    </w:p>
    <w:p>
      <w:pPr>
        <w:pStyle w:val="ListBullet"/>
      </w:pPr>
      <w:r>
        <w:t>*Навіщо:* формалізація компонентів Risk Score — критичність, вразливість, резервування, ваги (§2.3, §4.6.5, FR-1.5.1, Q16–Q19).</w:t>
      </w:r>
    </w:p>
    <w:p>
      <w:pPr>
        <w:pStyle w:val="ListBullet"/>
      </w:pPr>
      <w:r>
        <w:t>*Формат/джерело:* документ методики або експертний опис (визначення + спосіб вимірювання числом + ваги).</w:t>
      </w:r>
    </w:p>
    <w:p>
      <w:pPr>
        <w:pStyle w:val="ListBullet"/>
      </w:pPr>
      <w:r>
        <w:t>*Режим:* ДСК / NDA.</w:t>
      </w:r>
    </w:p>
    <w:p>
      <w:pPr>
        <w:pStyle w:val="ListBullet"/>
      </w:pPr>
      <w:r>
        <w:t>*Пріоритет:* 🔴 блокер.</w:t>
      </w:r>
    </w:p>
    <w:p/>
    <w:p>
      <w:r>
        <w:t>5.2. Експертний «короткий список» критичних об'єктів (ТОП-N)</w:t>
      </w:r>
    </w:p>
    <w:p>
      <w:pPr>
        <w:pStyle w:val="ListBullet"/>
      </w:pPr>
      <w:r>
        <w:t>*Навіжо:* еталон для валідації Pareto-виводу «що зміцнювати» (§4.6.5, FR-1.5.2, Q20).</w:t>
      </w:r>
    </w:p>
    <w:p>
      <w:pPr>
        <w:pStyle w:val="ListBullet"/>
      </w:pPr>
      <w:r>
        <w:t>*Формат/джерело:* перелік ТОП-N об'єктів від диспетчерів/інженерів режимів.</w:t>
      </w:r>
    </w:p>
    <w:p>
      <w:pPr>
        <w:pStyle w:val="ListBullet"/>
      </w:pPr>
      <w:r>
        <w:t>*Режим:* NDA.</w:t>
      </w:r>
    </w:p>
    <w:p>
      <w:pPr>
        <w:pStyle w:val="ListBullet"/>
      </w:pPr>
      <w:r>
        <w:t>*Пріоритет:* 🔴 блокер.</w:t>
      </w:r>
    </w:p>
    <w:p/>
    <w:p>
      <w:r>
        <w:t>5.3. Бажаний формат подання пріоритетів для керівництва</w:t>
      </w:r>
    </w:p>
    <w:p>
      <w:pPr>
        <w:pStyle w:val="ListBullet"/>
      </w:pPr>
      <w:r>
        <w:t>*Навіщо:* вихід панелі керівництва (§4.6.8, Q21).</w:t>
      </w:r>
    </w:p>
    <w:p>
      <w:pPr>
        <w:pStyle w:val="ListBullet"/>
      </w:pPr>
      <w:r>
        <w:t>*Формат/джерело:* зразок звіту / опис очікуваних метрик прийняття рішень.</w:t>
      </w:r>
    </w:p>
    <w:p>
      <w:pPr>
        <w:pStyle w:val="ListBullet"/>
      </w:pPr>
      <w:r>
        <w:t>*Режим:* ДСК.</w:t>
      </w:r>
    </w:p>
    <w:p>
      <w:pPr>
        <w:pStyle w:val="ListBullet"/>
      </w:pPr>
      <w:r>
        <w:t>*Пріоритет:* 🟡 бажано.</w:t>
      </w:r>
    </w:p>
    <w:p/>
    <w:p>
      <w:pPr>
        <w:pStyle w:val="Heading3"/>
      </w:pPr>
      <w:r>
        <w:t>Тема 6. Калібрування та валідація на реальних інцидентах</w:t>
      </w:r>
    </w:p>
    <w:p/>
    <w:p>
      <w:r>
        <w:t>6.1. Перелік еталонних інцидентів 2022–2025 з фактичними наслідками</w:t>
      </w:r>
    </w:p>
    <w:p>
      <w:pPr>
        <w:pStyle w:val="ListBullet"/>
      </w:pPr>
      <w:r>
        <w:t>*Навіщо:* валідація точності двійника та критерій приймання Етапу-2 (§4.6.7, §6, FR-1.7.2, Q22).</w:t>
      </w:r>
    </w:p>
    <w:p>
      <w:pPr>
        <w:pStyle w:val="ListBullet"/>
      </w:pPr>
      <w:r>
        <w:t>*Формат/джерело:* реєстр подій (що впало, логіка каскаду, втрачені МВт, регіони, час відновлення).</w:t>
      </w:r>
    </w:p>
    <w:p>
      <w:pPr>
        <w:pStyle w:val="ListBullet"/>
      </w:pPr>
      <w:r>
        <w:t>*Режим:* NDA (частина може бути ДТ).</w:t>
      </w:r>
    </w:p>
    <w:p>
      <w:pPr>
        <w:pStyle w:val="ListBullet"/>
      </w:pPr>
      <w:r>
        <w:t>*Пріоритет:* 🔴 блокер.</w:t>
      </w:r>
    </w:p>
    <w:p/>
    <w:p>
      <w:r>
        <w:t>6.2. Цільова допустима похибка відтворення наслідків</w:t>
      </w:r>
    </w:p>
    <w:p>
      <w:pPr>
        <w:pStyle w:val="ListBullet"/>
      </w:pPr>
      <w:r>
        <w:t>*Навіщо:* без неї немає критерію приймання Етапу-2 (§6, Q23).</w:t>
      </w:r>
    </w:p>
    <w:p>
      <w:pPr>
        <w:pStyle w:val="ListBullet"/>
      </w:pPr>
      <w:r>
        <w:t>*Формат/джерело:* допустима похибка у % по кожному виходу (МВт, регіони, час відновлення).</w:t>
      </w:r>
    </w:p>
    <w:p>
      <w:pPr>
        <w:pStyle w:val="ListBullet"/>
      </w:pPr>
      <w:r>
        <w:t>*Режим:* ДСК.</w:t>
      </w:r>
    </w:p>
    <w:p>
      <w:pPr>
        <w:pStyle w:val="ListBullet"/>
      </w:pPr>
      <w:r>
        <w:t>*Пріоритет:* 🔴 блокер.</w:t>
      </w:r>
    </w:p>
    <w:p/>
    <w:p>
      <w:pPr>
        <w:pStyle w:val="Heading3"/>
      </w:pPr>
      <w:r>
        <w:t>Тема 7. Сценарії загроз (вхід для war-gaming, режим «щит = меч»)</w:t>
      </w:r>
    </w:p>
    <w:p/>
    <w:p>
      <w:r>
        <w:t>7.1. Реалістичні параметри ударів для перебору</w:t>
      </w:r>
    </w:p>
    <w:p>
      <w:pPr>
        <w:pStyle w:val="ListBullet"/>
      </w:pPr>
      <w:r>
        <w:t>*Навіщо:* задають простір Monte Carlo для критичних комбінацій і раннього попередження (§4.6.4, §4.6.6, Q24).</w:t>
      </w:r>
    </w:p>
    <w:p>
      <w:pPr>
        <w:pStyle w:val="ListBullet"/>
      </w:pPr>
      <w:r>
        <w:t>*Формат/джерело:* перелік параметрів (типи засобів, кількість об'єктів у хвилі, напрямки, сезон, накопичений збиток) + реалістичні діапазони/розподіли.</w:t>
      </w:r>
    </w:p>
    <w:p>
      <w:pPr>
        <w:pStyle w:val="ListBullet"/>
      </w:pPr>
      <w:r>
        <w:t>*Режим:* ДТ (державна таємниця).</w:t>
      </w:r>
    </w:p>
    <w:p>
      <w:pPr>
        <w:pStyle w:val="ListBullet"/>
      </w:pPr>
      <w:r>
        <w:t>*Пріоритет:* 🔴 блокер.</w:t>
      </w:r>
    </w:p>
    <w:p/>
    <w:p>
      <w:r>
        <w:t>7.2. Статистика частоти й патернів реальних ударів</w:t>
      </w:r>
    </w:p>
    <w:p>
      <w:pPr>
        <w:pStyle w:val="ListBullet"/>
      </w:pPr>
      <w:r>
        <w:t>*Навіщо:* режим Red Team / прогноз наступного ймовірного сценарію (§4.6.6, Q25).</w:t>
      </w:r>
    </w:p>
    <w:p>
      <w:pPr>
        <w:pStyle w:val="ListBullet"/>
      </w:pPr>
      <w:r>
        <w:t>*Формат/джерело:* історичні дані (дата/тип/ціль/наслідок) у межах допуску.</w:t>
      </w:r>
    </w:p>
    <w:p>
      <w:pPr>
        <w:pStyle w:val="ListBullet"/>
      </w:pPr>
      <w:r>
        <w:t>*Режим:* ДТ.</w:t>
      </w:r>
    </w:p>
    <w:p>
      <w:pPr>
        <w:pStyle w:val="ListBullet"/>
      </w:pPr>
      <w:r>
        <w:t>*Пріоритет:* 🔴 блокер.</w:t>
      </w:r>
    </w:p>
    <w:p/>
    <w:p>
      <w:r>
        <w:t>7.3. Вплив сезону/погоди/часу доби на наслідки</w:t>
      </w:r>
    </w:p>
    <w:p>
      <w:pPr>
        <w:pStyle w:val="ListBullet"/>
      </w:pPr>
      <w:r>
        <w:t>*Навіщо:* погодно-сезонні фактори у моделі сценаріїв (§4.6.4, Q26).</w:t>
      </w:r>
    </w:p>
    <w:p>
      <w:pPr>
        <w:pStyle w:val="ListBullet"/>
      </w:pPr>
      <w:r>
        <w:t>*Формат/джерело:* перелік факторів + напрям впливу (експертний опис).</w:t>
      </w:r>
    </w:p>
    <w:p>
      <w:pPr>
        <w:pStyle w:val="ListBullet"/>
      </w:pPr>
      <w:r>
        <w:t>*Режим:* ДСК.</w:t>
      </w:r>
    </w:p>
    <w:p>
      <w:pPr>
        <w:pStyle w:val="ListBullet"/>
      </w:pPr>
      <w:r>
        <w:t>*Пріоритет:* 🟡 бажано.</w:t>
      </w:r>
    </w:p>
    <w:p/>
    <w:p>
      <w:pPr>
        <w:pStyle w:val="Heading3"/>
      </w:pPr>
      <w:r>
        <w:t>Тема 8. Організаційно-режимне забезпечення Етапу-2</w:t>
      </w:r>
    </w:p>
    <w:p/>
    <w:p>
      <w:r>
        <w:t>8.1. Вимоги до КСЗІ та обчислювального контуру Замовника</w:t>
      </w:r>
    </w:p>
    <w:p>
      <w:pPr>
        <w:pStyle w:val="ListBullet"/>
      </w:pPr>
      <w:r>
        <w:t>*Навіщо:* експлуатація Етапу-2 виключно у складі атестованого КСЗІ (§4.4, §7, умова приймання Етапу-2).</w:t>
      </w:r>
    </w:p>
    <w:p>
      <w:pPr>
        <w:pStyle w:val="ListBullet"/>
      </w:pPr>
      <w:r>
        <w:t>*Формат/джерело:* технічні вимоги до захищеного/ізольованого контуру, чинні НД ТЗІ, порядок атестації.</w:t>
      </w:r>
    </w:p>
    <w:p>
      <w:pPr>
        <w:pStyle w:val="ListBullet"/>
      </w:pPr>
      <w:r>
        <w:t>*Режим:* ДСК.</w:t>
      </w:r>
    </w:p>
    <w:p>
      <w:pPr>
        <w:pStyle w:val="ListBullet"/>
      </w:pPr>
      <w:r>
        <w:t>*Пріоритет:* 🔴 блокер.</w:t>
      </w:r>
    </w:p>
    <w:p/>
    <w:p>
      <w:r>
        <w:t>8.2. Затверджена рольова модель доступу (окремий контур допуску до А1)</w:t>
      </w:r>
    </w:p>
    <w:p>
      <w:pPr>
        <w:pStyle w:val="ListBullet"/>
      </w:pPr>
      <w:r>
        <w:t>*Навіщо:* RBAC як інваріант ядра, RLS/CLS, окремий від А2/А3 допуск (§4.1.3, §7).</w:t>
      </w:r>
    </w:p>
    <w:p>
      <w:pPr>
        <w:pStyle w:val="ListBullet"/>
      </w:pPr>
      <w:r>
        <w:t>*Формат/джерело:* перелік ролей, об'єктів/районів/періодів та правил доступу.</w:t>
      </w:r>
    </w:p>
    <w:p>
      <w:pPr>
        <w:pStyle w:val="ListBullet"/>
      </w:pPr>
      <w:r>
        <w:t>*Режим:* ДСК / NDA.</w:t>
      </w:r>
    </w:p>
    <w:p>
      <w:pPr>
        <w:pStyle w:val="ListBullet"/>
      </w:pPr>
      <w:r>
        <w:t>*Пріоритет:* 🔴 блокер.</w:t>
      </w:r>
    </w:p>
    <w:p/>
    <w:p>
      <w:r>
        <w:t>8.3. Оформлення допусків персоналу та NDA</w:t>
      </w:r>
    </w:p>
    <w:p>
      <w:pPr>
        <w:pStyle w:val="ListBullet"/>
      </w:pPr>
      <w:r>
        <w:t>*Навіщо:* організаційна передумова доступу до NDA/ДТ-даних (§7, §4.4).</w:t>
      </w:r>
    </w:p>
    <w:p>
      <w:pPr>
        <w:pStyle w:val="ListBullet"/>
      </w:pPr>
      <w:r>
        <w:t>*Формат/джерело:* угода NDA + допуски до державної таємниці відповідного ступеня для персоналу Етапу-2.</w:t>
      </w:r>
    </w:p>
    <w:p>
      <w:pPr>
        <w:pStyle w:val="ListBullet"/>
      </w:pPr>
      <w:r>
        <w:t>*Режим:* ДТ.</w:t>
      </w:r>
    </w:p>
    <w:p>
      <w:pPr>
        <w:pStyle w:val="ListBullet"/>
      </w:pPr>
      <w:r>
        <w:t>*Пріоритет:* 🔴 блокер.</w:t>
      </w:r>
    </w:p>
    <w:p/>
    <w:p/>
    <w:p>
      <w:r>
        <w:t>Джерела: d:/ВС коде вайбкодинг/Укренерго/deliverables/_TZ_A1.md, d:/ВС коде вайбкодинг/Укренерго/deliverables/QUESTIONS_A1_physics.md.</w:t>
      </w:r>
    </w:p>
    <w:p/>
    <w:p/>
    <w:p>
      <w:pPr>
        <w:pStyle w:val="Heading2"/>
      </w:pPr>
      <w:r>
        <w:t>Перелік документації та даних, що запитуються у НЕК «Укренерго» — Домен A2 (Нагляд за маніпуляціями РСВ/ВСР)</w:t>
      </w:r>
    </w:p>
    <w:p/>
    <w:p>
      <w:pPr>
        <w:pStyle w:val="Heading3"/>
      </w:pPr>
      <w:r>
        <w:t>Тема 1. Мікроструктурні дані ринку (журнал заявок та угод)</w:t>
      </w:r>
    </w:p>
    <w:p/>
    <w:p>
      <w:r>
        <w:t>1.1. Історія заявок РСВ/ВСР (повний order book)</w:t>
      </w:r>
    </w:p>
    <w:p>
      <w:pPr>
        <w:pStyle w:val="ListBullet"/>
      </w:pPr>
      <w:r>
        <w:t>Навіщо: реалізація моделі даних журналу STOR (п. 4.2 інформаційне забезпечення), baseline «нормальної» поведінки (п. 4.7.4, 4.8.1) і часових/послідовнісних детекторів layering/spoofing (п. 4.6, FR-2.11.x). Без сирих заявок детектори order-based не визначаються.</w:t>
      </w:r>
    </w:p>
    <w:p>
      <w:pPr>
        <w:pStyle w:val="ListBullet"/>
      </w:pPr>
      <w:r>
        <w:t>Формат/джерело: структуровані дані оператора ринку (ОР/«Оператор ринку»); CSV/Parquet/БД-вивантаження; поля: EIC учасника, ціна, обсяг, сегмент, мітки часу подання/зміни/відкликання, ідентифікатор заявки. Репрезентативний період ≥ 12 міс із охопленням зими та літа.</w:t>
      </w:r>
    </w:p>
    <w:p>
      <w:pPr>
        <w:pStyle w:val="ListBullet"/>
      </w:pPr>
      <w:r>
        <w:t>Режим: NDA / «цілком таємно» (Етап-2).</w:t>
      </w:r>
    </w:p>
    <w:p>
      <w:pPr>
        <w:pStyle w:val="ListBullet"/>
      </w:pPr>
      <w:r>
        <w:t>Пріоритет: 🔴 блокер Етапу-2.</w:t>
      </w:r>
    </w:p>
    <w:p/>
    <w:p>
      <w:r>
        <w:t>1.2. Історія клірингових цін та обсягів РСВ/ВСР по годинах/інтервалах</w:t>
      </w:r>
    </w:p>
    <w:p>
      <w:pPr>
        <w:pStyle w:val="ListBullet"/>
      </w:pPr>
      <w:r>
        <w:t>Навіщо: контроль цінових індикаторів (п. 4.7.7, Ф5), реконструкція епізоду на «Картці алерту» (п. 4.7.3), сегментна аналітика (п. 4.7.8).</w:t>
      </w:r>
    </w:p>
    <w:p>
      <w:pPr>
        <w:pStyle w:val="ListBullet"/>
      </w:pPr>
      <w:r>
        <w:t>Формат/джерело: ОР; CSV/часові ряди по торгових інтервалах. На Етапі-1 покривається ENTSO-E TP, на Етапі-2 — повні внутрішні дані.</w:t>
      </w:r>
    </w:p>
    <w:p>
      <w:pPr>
        <w:pStyle w:val="ListBullet"/>
      </w:pPr>
      <w:r>
        <w:t>Режим: NDA (персоніфікований зріз); агрегований рівень — ДСК.</w:t>
      </w:r>
    </w:p>
    <w:p>
      <w:pPr>
        <w:pStyle w:val="ListBullet"/>
      </w:pPr>
      <w:r>
        <w:t>Пріоритет: 🔴 блокер Етапу-2.</w:t>
      </w:r>
    </w:p>
    <w:p/>
    <w:p>
      <w:r>
        <w:t>1.3. Специфікація форматів і регламент вивантаження журналу</w:t>
      </w:r>
    </w:p>
    <w:p>
      <w:pPr>
        <w:pStyle w:val="ListBullet"/>
      </w:pPr>
      <w:r>
        <w:t>Навіщо: контроль повноти/послідовності транзакцій і виявлення прогалин (п. 4.3 надійність), безперервність збору журналу (п. 4.1.8).</w:t>
      </w:r>
    </w:p>
    <w:p>
      <w:pPr>
        <w:pStyle w:val="ListBullet"/>
      </w:pPr>
      <w:r>
        <w:t>Формат/джерело: технічний опис схеми даних ОР, протокол/частота вивантаження (batch/потік), словник полів.</w:t>
      </w:r>
    </w:p>
    <w:p>
      <w:pPr>
        <w:pStyle w:val="ListBullet"/>
      </w:pPr>
      <w:r>
        <w:t>Режим: NDA.</w:t>
      </w:r>
    </w:p>
    <w:p>
      <w:pPr>
        <w:pStyle w:val="ListBullet"/>
      </w:pPr>
      <w:r>
        <w:t>Пріоритет: 🟡 бажано (потрібен для промислового контуру збору).</w:t>
      </w:r>
    </w:p>
    <w:p/>
    <w:p>
      <w:pPr>
        <w:pStyle w:val="Heading3"/>
      </w:pPr>
      <w:r>
        <w:t>Тема 2. Довідники учасників та афілійованості</w:t>
      </w:r>
    </w:p>
    <w:p/>
    <w:p>
      <w:r>
        <w:t>2.1. Реєстр учасників ринку (каталог EIC)</w:t>
      </w:r>
    </w:p>
    <w:p>
      <w:pPr>
        <w:pStyle w:val="ListBullet"/>
      </w:pPr>
      <w:r>
        <w:t>Навіщо: персоніфікація учасників (п. 4.7.4 FR-2.4.3), каталог учасників у моделі даних (п. 4.2), вузли графа координації (п. 4.7.5).</w:t>
      </w:r>
    </w:p>
    <w:p>
      <w:pPr>
        <w:pStyle w:val="ListBullet"/>
      </w:pPr>
      <w:r>
        <w:t>Формат/джерело: реєстр ОР/НЕК; CSV/довідник: EIC, найменування, сегменти активності, тип учасника.</w:t>
      </w:r>
    </w:p>
    <w:p>
      <w:pPr>
        <w:pStyle w:val="ListBullet"/>
      </w:pPr>
      <w:r>
        <w:t>Режим: NDA.</w:t>
      </w:r>
    </w:p>
    <w:p>
      <w:pPr>
        <w:pStyle w:val="ListBullet"/>
      </w:pPr>
      <w:r>
        <w:t>Пріоритет: 🔴 блокер Етапу-2.</w:t>
      </w:r>
    </w:p>
    <w:p/>
    <w:p>
      <w:r>
        <w:t>2.2. Дані про афілійованість/власників учасників</w:t>
      </w:r>
    </w:p>
    <w:p>
      <w:pPr>
        <w:pStyle w:val="ListBullet"/>
      </w:pPr>
      <w:r>
        <w:t>Навіщо: атрибути вузлів графа і виявлення координованих дій/картелю (п. 4.7.5, Ф4, Q4.4); позаринкові зв'язки як ознака змови.</w:t>
      </w:r>
    </w:p>
    <w:p>
      <w:pPr>
        <w:pStyle w:val="ListBullet"/>
      </w:pPr>
      <w:r>
        <w:t>Формат/джерело: довідник афілійованості (спільні власники, групи); CSV/реєстр; за наявності — посилання на офіційні реєстри.</w:t>
      </w:r>
    </w:p>
    <w:p>
      <w:pPr>
        <w:pStyle w:val="ListBullet"/>
      </w:pPr>
      <w:r>
        <w:t>Режим: NDA.</w:t>
      </w:r>
    </w:p>
    <w:p>
      <w:pPr>
        <w:pStyle w:val="ListBullet"/>
      </w:pPr>
      <w:r>
        <w:t>Пріоритет: 🟡 бажано (підсилює графовий детектор; за відсутності — деградований режим за ринковими ознаками).</w:t>
      </w:r>
    </w:p>
    <w:p/>
    <w:p>
      <w:pPr>
        <w:pStyle w:val="Heading3"/>
      </w:pPr>
      <w:r>
        <w:t>Тема 3. Нормативно-регламентна база ринку</w:t>
      </w:r>
    </w:p>
    <w:p/>
    <w:p>
      <w:r>
        <w:t>3.1. Правила ринку РСВ/ВСР (чинна редакція НКРЕКП)</w:t>
      </w:r>
    </w:p>
    <w:p>
      <w:pPr>
        <w:pStyle w:val="ListBullet"/>
      </w:pPr>
      <w:r>
        <w:t>Навіщо: нормативні джерела порогів, межі цінових коридорів, перелік заборонених практик (п. 1.5, 9 ТЗ, Ф5); каркас таксономії патернів (п. 4.6).</w:t>
      </w:r>
    </w:p>
    <w:p>
      <w:pPr>
        <w:pStyle w:val="ListBullet"/>
      </w:pPr>
      <w:r>
        <w:t>Формат/джерело: регламент/нормативний акт НКРЕКП (PDF/офіційний текст) з пунктами про межі цін.</w:t>
      </w:r>
    </w:p>
    <w:p>
      <w:pPr>
        <w:pStyle w:val="ListBullet"/>
      </w:pPr>
      <w:r>
        <w:t>Режим: ДСК (відкритий нормативний документ).</w:t>
      </w:r>
    </w:p>
    <w:p>
      <w:pPr>
        <w:pStyle w:val="ListBullet"/>
      </w:pPr>
      <w:r>
        <w:t>Пріоритет: 🔴 блокер Етапу-2.</w:t>
      </w:r>
    </w:p>
    <w:p/>
    <w:p>
      <w:r>
        <w:t>3.2. Затверджені пороги/межі цінових коливань, price cap, регламент цінових обмежень</w:t>
      </w:r>
    </w:p>
    <w:p>
      <w:pPr>
        <w:pStyle w:val="ListBullet"/>
      </w:pPr>
      <w:r>
        <w:t>Навіщо: прямий параметр детектора цінових відхилень (п. 4.7.7 FR-2.7.1, Ф5, Q5.3).</w:t>
      </w:r>
    </w:p>
    <w:p>
      <w:pPr>
        <w:pStyle w:val="ListBullet"/>
      </w:pPr>
      <w:r>
        <w:t>Формат/джерело: нормативний акт/регламент НКРЕКП з конкретними числами та посиланнями на пункти.</w:t>
      </w:r>
    </w:p>
    <w:p>
      <w:pPr>
        <w:pStyle w:val="ListBullet"/>
      </w:pPr>
      <w:r>
        <w:t>Режим: ДСК.</w:t>
      </w:r>
    </w:p>
    <w:p>
      <w:pPr>
        <w:pStyle w:val="ListBullet"/>
      </w:pPr>
      <w:r>
        <w:t>Пріоритет: 🔴 блокер Етапу-2.</w:t>
      </w:r>
    </w:p>
    <w:p/>
    <w:p>
      <w:r>
        <w:t>3.3. Кодекс комерційного обліку та нормативні акти НКРЕКП щодо моніторингу оптового ринку</w:t>
      </w:r>
    </w:p>
    <w:p>
      <w:pPr>
        <w:pStyle w:val="ListBullet"/>
      </w:pPr>
      <w:r>
        <w:t>Навіщо: узгодження моделі даних і регламенту нагляду (п. 1.5, 9 ТЗ).</w:t>
      </w:r>
    </w:p>
    <w:p>
      <w:pPr>
        <w:pStyle w:val="ListBullet"/>
      </w:pPr>
      <w:r>
        <w:t>Формат/джерело: офіційні нормативні документи (PDF).</w:t>
      </w:r>
    </w:p>
    <w:p>
      <w:pPr>
        <w:pStyle w:val="ListBullet"/>
      </w:pPr>
      <w:r>
        <w:t>Режим: ДСК.</w:t>
      </w:r>
    </w:p>
    <w:p>
      <w:pPr>
        <w:pStyle w:val="ListBullet"/>
      </w:pPr>
      <w:r>
        <w:t>Пріоритет: 🟡 бажано.</w:t>
      </w:r>
    </w:p>
    <w:p/>
    <w:p>
      <w:r>
        <w:t>3.4. Внутрішні методики/інструкції НКРЕКП/НЕК з моніторингу ринкової поведінки</w:t>
      </w:r>
    </w:p>
    <w:p>
      <w:pPr>
        <w:pStyle w:val="ListBullet"/>
      </w:pPr>
      <w:r>
        <w:t>Навіщо: формалізація «ручної» методики виявлення у послідовність детекторів (п. 4.7, Ф3–Ф6, Q1.1); зона доменної деталізації Етапу-2 (п. 4.1.7, 4.8.2).</w:t>
      </w:r>
    </w:p>
    <w:p>
      <w:pPr>
        <w:pStyle w:val="ListBullet"/>
      </w:pPr>
      <w:r>
        <w:t>Формат/джерело: внутрішні письмові регламенти/чек-листи служби нагляду (якщо існують).</w:t>
      </w:r>
    </w:p>
    <w:p>
      <w:pPr>
        <w:pStyle w:val="ListBullet"/>
      </w:pPr>
      <w:r>
        <w:t>Режим: NDA.</w:t>
      </w:r>
    </w:p>
    <w:p>
      <w:pPr>
        <w:pStyle w:val="ListBullet"/>
      </w:pPr>
      <w:r>
        <w:t>Пріоритет: 🔴 блокер Етапу-2 (доменна калібровка детекторів неможлива без методики).</w:t>
      </w:r>
    </w:p>
    <w:p/>
    <w:p>
      <w:pPr>
        <w:pStyle w:val="Heading3"/>
      </w:pPr>
      <w:r>
        <w:t>Тема 4. Калібрувальні та тестові набори (golden set)</w:t>
      </w:r>
    </w:p>
    <w:p/>
    <w:p>
      <w:r>
        <w:t>4.1. «Золотий набір» підтверджених кейсів маніпуляцій (позитиви)</w:t>
      </w:r>
    </w:p>
    <w:p>
      <w:pPr>
        <w:pStyle w:val="ListBullet"/>
      </w:pPr>
      <w:r>
        <w:t>Навіщо: валідація моделей виявлення, метрики перекриття патернів і false-positive rate (п. 2.3, 6 приймання Етапу-2, Q8.4).</w:t>
      </w:r>
    </w:p>
    <w:p>
      <w:pPr>
        <w:pStyle w:val="ListBullet"/>
      </w:pPr>
      <w:r>
        <w:t>Формат/джерело: перелік розслідуваних епізодів з прив'язкою до сирих даних, класу патерну та вирішальної ознаки; CSV/опис кейсів.</w:t>
      </w:r>
    </w:p>
    <w:p>
      <w:pPr>
        <w:pStyle w:val="ListBullet"/>
      </w:pPr>
      <w:r>
        <w:t>Режим: NDA / «цілком таємно».</w:t>
      </w:r>
    </w:p>
    <w:p>
      <w:pPr>
        <w:pStyle w:val="ListBullet"/>
      </w:pPr>
      <w:r>
        <w:t>Пріоритет: 🔴 блокер Етапу-2 (без позитивів неможливо виміряти recall).</w:t>
      </w:r>
    </w:p>
    <w:p/>
    <w:p>
      <w:r>
        <w:t>4.2. Набір помилкових тривог / обґрунтованих відхилень (негативи, whitelisting)</w:t>
      </w:r>
    </w:p>
    <w:p>
      <w:pPr>
        <w:pStyle w:val="ListBullet"/>
      </w:pPr>
      <w:r>
        <w:t>Навіщо: контекстне відсіювання хибних тривог і калібрування precision (Ф8, п. 2.3, Q8.1, Q8.3).</w:t>
      </w:r>
    </w:p>
    <w:p>
      <w:pPr>
        <w:pStyle w:val="ListBullet"/>
      </w:pPr>
      <w:r>
        <w:t>Формат/джерело: перелік випадків «аномалія, що виявилась законною» з причиною; CSV/опис.</w:t>
      </w:r>
    </w:p>
    <w:p>
      <w:pPr>
        <w:pStyle w:val="ListBullet"/>
      </w:pPr>
      <w:r>
        <w:t>Режим: NDA.</w:t>
      </w:r>
    </w:p>
    <w:p>
      <w:pPr>
        <w:pStyle w:val="ListBullet"/>
      </w:pPr>
      <w:r>
        <w:t>Пріоритет: 🟡 бажано (істотно знижує false-positive rate).</w:t>
      </w:r>
    </w:p>
    <w:p/>
    <w:p>
      <w:pPr>
        <w:pStyle w:val="Heading3"/>
      </w:pPr>
      <w:r>
        <w:t>Тема 5. Зовнішній контекст для відсіювання хибних тривог (Ф8)</w:t>
      </w:r>
    </w:p>
    <w:p/>
    <w:p>
      <w:r>
        <w:t>5.1. Дані про зовнішні події (аварії, ремонти, обмеження перетинів, дефіцит) синхронно з ринковими даними</w:t>
      </w:r>
    </w:p>
    <w:p>
      <w:pPr>
        <w:pStyle w:val="ListBullet"/>
      </w:pPr>
      <w:r>
        <w:t>Навіщо: відрізнення обґрунтованого цінового стрибка від штучного (Ф8, п. 2.3, Q5.2, Q8.2). A2 підтягує самостійно; за наявності опціональної шини частину подій може постачати A1 (бонус, не умова).</w:t>
      </w:r>
    </w:p>
    <w:p>
      <w:pPr>
        <w:pStyle w:val="ListBullet"/>
      </w:pPr>
      <w:r>
        <w:t>Формат/джерело: журнал подій НЕК / диспетчерські повідомлення; CSV/реєстр з мітками часу.</w:t>
      </w:r>
    </w:p>
    <w:p>
      <w:pPr>
        <w:pStyle w:val="ListBullet"/>
      </w:pPr>
      <w:r>
        <w:t>Режим: NDA (частина може бути держтаємницею — статус мережевих об'єктів).</w:t>
      </w:r>
    </w:p>
    <w:p>
      <w:pPr>
        <w:pStyle w:val="ListBullet"/>
      </w:pPr>
      <w:r>
        <w:t>Пріоритет: 🔴 блокер Етапу-2 для модуля Ф8.</w:t>
      </w:r>
    </w:p>
    <w:p/>
    <w:p>
      <w:r>
        <w:t>5.2. Перелік джерел зовнішнього контексту в реальному часі</w:t>
      </w:r>
    </w:p>
    <w:p>
      <w:pPr>
        <w:pStyle w:val="ListBullet"/>
      </w:pPr>
      <w:r>
        <w:t>Навіщо: конфігурація входів Ф8 (ціна газу, погода, статус мережевих об'єктів) для контекстного відсіювання.</w:t>
      </w:r>
    </w:p>
    <w:p>
      <w:pPr>
        <w:pStyle w:val="ListBullet"/>
      </w:pPr>
      <w:r>
        <w:t>Формат/джерело: перелік API/джерел з реквізитами доступу; технічний опис.</w:t>
      </w:r>
    </w:p>
    <w:p>
      <w:pPr>
        <w:pStyle w:val="ListBullet"/>
      </w:pPr>
      <w:r>
        <w:t>Режим: ДСК / NDA (залежно від джерела).</w:t>
      </w:r>
    </w:p>
    <w:p>
      <w:pPr>
        <w:pStyle w:val="ListBullet"/>
      </w:pPr>
      <w:r>
        <w:t>Пріоритет: 🟡 бажано.</w:t>
      </w:r>
    </w:p>
    <w:p/>
    <w:p>
      <w:pPr>
        <w:pStyle w:val="Heading3"/>
      </w:pPr>
      <w:r>
        <w:t>Тема 6. Звітність, нотифікації та європейські орієнтири</w:t>
      </w:r>
    </w:p>
    <w:p/>
    <w:p>
      <w:r>
        <w:t>6.1. Шаблони/формати обов'язкових звітів і нотифікацій (НКРЕКП, ACER)</w:t>
      </w:r>
    </w:p>
    <w:p>
      <w:pPr>
        <w:pStyle w:val="ListBullet"/>
      </w:pPr>
      <w:r>
        <w:t>Навіщо: конструктор звітів SAR та авто-повідомлення (п. 4.7.9, Ф7, FR-2.9.x, Q7.3) — формат і регламент строків вихідних документів.</w:t>
      </w:r>
    </w:p>
    <w:p>
      <w:pPr>
        <w:pStyle w:val="ListBullet"/>
      </w:pPr>
      <w:r>
        <w:t>Формат/джерело: офіційні шаблони звітів, регламент строків подання.</w:t>
      </w:r>
    </w:p>
    <w:p>
      <w:pPr>
        <w:pStyle w:val="ListBullet"/>
      </w:pPr>
      <w:r>
        <w:t>Режим: ДСК (формати) / NDA (заповнені звіти).</w:t>
      </w:r>
    </w:p>
    <w:p>
      <w:pPr>
        <w:pStyle w:val="ListBullet"/>
      </w:pPr>
      <w:r>
        <w:t>Пріоритет: 🟡 бажано.</w:t>
      </w:r>
    </w:p>
    <w:p/>
    <w:p>
      <w:r>
        <w:t>6.2. Адаптовані під Україну критерії REMIT/ACER та керівництва ACER</w:t>
      </w:r>
    </w:p>
    <w:p>
      <w:pPr>
        <w:pStyle w:val="ListBullet"/>
      </w:pPr>
      <w:r>
        <w:t>Навіщо: адаптація таксономії зловживання (п. 4.6, 9 ТЗ, Q1.3, Q7.1) — уникнення сліпого копіювання європейських порогів.</w:t>
      </w:r>
    </w:p>
    <w:p>
      <w:pPr>
        <w:pStyle w:val="ListBullet"/>
      </w:pPr>
      <w:r>
        <w:t>Формат/джерело: опрацьовані критерії (якщо існують) + керівні документи ACER/ENTSO-E (PDF).</w:t>
      </w:r>
    </w:p>
    <w:p>
      <w:pPr>
        <w:pStyle w:val="ListBullet"/>
      </w:pPr>
      <w:r>
        <w:t>Режим: ДСК.</w:t>
      </w:r>
    </w:p>
    <w:p>
      <w:pPr>
        <w:pStyle w:val="ListBullet"/>
      </w:pPr>
      <w:r>
        <w:t>Пріоритет: 🟡 бажано (методологічний орієнтир, не пряма норма).</w:t>
      </w:r>
    </w:p>
    <w:p/>
    <w:p>
      <w:r>
        <w:t>6.3. Матеріали методики TGE/URE (Польща) з ринкового нагляду</w:t>
      </w:r>
    </w:p>
    <w:p>
      <w:pPr>
        <w:pStyle w:val="ListBullet"/>
      </w:pPr>
      <w:r>
        <w:t>Навіщо: практика найближчого ринку-аналога (п. 9 ТЗ, Q7.2).</w:t>
      </w:r>
    </w:p>
    <w:p>
      <w:pPr>
        <w:pStyle w:val="ListBullet"/>
      </w:pPr>
      <w:r>
        <w:t>Формат/джерело: доступні публічні/надані методики та кейси.</w:t>
      </w:r>
    </w:p>
    <w:p>
      <w:pPr>
        <w:pStyle w:val="ListBullet"/>
      </w:pPr>
      <w:r>
        <w:t>Режим: ДСК.</w:t>
      </w:r>
    </w:p>
    <w:p>
      <w:pPr>
        <w:pStyle w:val="ListBullet"/>
      </w:pPr>
      <w:r>
        <w:t>Пріоритет: 🟡 бажано.</w:t>
      </w:r>
    </w:p>
    <w:p/>
    <w:p>
      <w:pPr>
        <w:pStyle w:val="Heading3"/>
      </w:pPr>
      <w:r>
        <w:t>Тема 7. Інфраструктура та режим Етапу-2</w:t>
      </w:r>
    </w:p>
    <w:p/>
    <w:p>
      <w:r>
        <w:t>7.1. Вимоги до захищеного контуру та умови атестації КСЗІ</w:t>
      </w:r>
    </w:p>
    <w:p>
      <w:pPr>
        <w:pStyle w:val="ListBullet"/>
      </w:pPr>
      <w:r>
        <w:t>Навіщо: експлуатація Етапу-2 у складі КСЗІ за НД ТЗІ (п. 3.3, 4.4, 6); умова приймання — позитивний висновок атестації.</w:t>
      </w:r>
    </w:p>
    <w:p>
      <w:pPr>
        <w:pStyle w:val="ListBullet"/>
      </w:pPr>
      <w:r>
        <w:t>Формат/джерело: технічні умови контуру Замовника, перелік вимог НД ТЗІ, регламент допусків.</w:t>
      </w:r>
    </w:p>
    <w:p>
      <w:pPr>
        <w:pStyle w:val="ListBullet"/>
      </w:pPr>
      <w:r>
        <w:t>Режим: NDA / службовий.</w:t>
      </w:r>
    </w:p>
    <w:p>
      <w:pPr>
        <w:pStyle w:val="ListBullet"/>
      </w:pPr>
      <w:r>
        <w:t>Пріоритет: 🔴 блокер Етапу-2 (без атестованого контуру реальні дані не підключаються).</w:t>
      </w:r>
    </w:p>
    <w:p/>
    <w:p>
      <w:r>
        <w:t>7.2. Регламент окремого допуску на A2 та затверджена рольова модель RBAC</w:t>
      </w:r>
    </w:p>
    <w:p>
      <w:pPr>
        <w:pStyle w:val="ListBullet"/>
      </w:pPr>
      <w:r>
        <w:t>Навіщо: інваріант RBAC = ДНК (п. 4.1.3), окремий допуск на A2 (п. 7), розмежування доступу до персоніфікованих ринкових даних.</w:t>
      </w:r>
    </w:p>
    <w:p>
      <w:pPr>
        <w:pStyle w:val="ListBullet"/>
      </w:pPr>
      <w:r>
        <w:t>Формат/джерело: перелік ролей служби нагласу, матриця прав (сегменти/учасники/періоди), регламент оформлення допусків.</w:t>
      </w:r>
    </w:p>
    <w:p>
      <w:pPr>
        <w:pStyle w:val="ListBullet"/>
      </w:pPr>
      <w:r>
        <w:t>Режим: NDA / службовий.</w:t>
      </w:r>
    </w:p>
    <w:p>
      <w:pPr>
        <w:pStyle w:val="ListBullet"/>
      </w:pPr>
      <w:r>
        <w:t>Пріоритет: 🟡 бажано (потрібно до промислового впровадження, не до старту калібрування).</w:t>
      </w:r>
    </w:p>
    <w:p/>
    <w:p>
      <w:r>
        <w:t>Джерела переліку: d:/ВС коде вайбкодинг/Укренерго/deliverables/_TZ_A2.md, d:/ВС коде вайбкодинг/Укренерго/deliverables/QUESTIONS_A2_market.md.</w:t>
      </w:r>
    </w:p>
    <w:p/>
    <w:p/>
    <w:p>
      <w:pPr>
        <w:pStyle w:val="Heading2"/>
      </w:pPr>
      <w:r>
        <w:t>Перелік документації та даних для запиту у НЕК «Укренерго» — Домен A3 «Прогноз технологічних втрат і закупівель»</w:t>
      </w:r>
    </w:p>
    <w:p/>
    <w:p>
      <w:pPr>
        <w:ind w:left="454"/>
      </w:pPr>
      <w:r>
        <w:rPr>
          <w:i/>
        </w:rPr>
        <w:t>Запитувати в межах NDA та режиму таємності (Етап-2). Кожен пункт закриває конкретну «зону доменної деталізації Етапу-2» з UE-A3.ТЗ. Режим: ДСК / NDA / держтаємниця (до «цілком таємно»). Пріоритет: 🔴 блокер Етапу-2 / 🟡 бажано.</w:t>
      </w:r>
    </w:p>
    <w:p/>
    <w:p>
      <w:pPr>
        <w:pStyle w:val="Heading3"/>
      </w:pPr>
      <w:r>
        <w:t>Тема 1. Методики та регламенти (постановка задачі)</w:t>
      </w:r>
    </w:p>
    <w:p/>
    <w:p>
      <w:pPr>
        <w:pStyle w:val="ListNumber"/>
      </w:pPr>
      <w:r>
        <w:t>Чинна методика розрахунку технологічних втрат (ТСВ) — внутрішній регламент/норматив</w:t>
      </w:r>
    </w:p>
    <w:p>
      <w:r>
        <w:t xml:space="preserve">   - НАВІЩО: ядро Ф «Прогноз втрат» (§4.1, §4.9); §4.9 прямо лишає вибір моделі на Етап-2 — без чинної методики немає еталона для калібрування PINN та feature-engineering (I²R / холостий хід / корона).</w:t>
      </w:r>
    </w:p>
    <w:p>
      <w:r>
        <w:t xml:space="preserve">   - ФОРМАТ/ДЖЕРЕЛО: внутрішній регламент/норматив (PDF/DOC), формули, нормативи % від перетоку.</w:t>
      </w:r>
    </w:p>
    <w:p>
      <w:r>
        <w:t xml:space="preserve">   - РЕЖИМ: NDA</w:t>
      </w:r>
    </w:p>
    <w:p>
      <w:r>
        <w:t xml:space="preserve">   - ПРІОРИТЕТ: 🔴</w:t>
      </w:r>
    </w:p>
    <w:p/>
    <w:p>
      <w:pPr>
        <w:pStyle w:val="ListNumber"/>
      </w:pPr>
      <w:r>
        <w:t>Регламент формування закупівельної потреби та роботи на РСВ/ВСР/БР</w:t>
      </w:r>
    </w:p>
    <w:p>
      <w:r>
        <w:t xml:space="preserve">   - НАВІЩО: екран «Прогноз закупівельної потреби» (§4.3, FR-3.3.1) та «Сценарії закупівель» (§4.4) — формула переходу «прогноз втрат → обсяг компенсації», параметри резерву/профілю.</w:t>
      </w:r>
    </w:p>
    <w:p>
      <w:r>
        <w:t xml:space="preserve">   - ФОРМАТ/ДЖЕРЕЛО: внутрішній регламент (PDF/DOC), процедура балансу.</w:t>
      </w:r>
    </w:p>
    <w:p>
      <w:r>
        <w:t xml:space="preserve">   - РЕЖИМ: NDA</w:t>
      </w:r>
    </w:p>
    <w:p>
      <w:r>
        <w:t xml:space="preserve">   - ПРІОРИТЕТ: 🔴</w:t>
      </w:r>
    </w:p>
    <w:p/>
    <w:p>
      <w:pPr>
        <w:pStyle w:val="ListNumber"/>
      </w:pPr>
      <w:r>
        <w:t>Приклади ручних розрахунків закупівлі та прогнозу втрат (2–3 реальні кейси з числами)</w:t>
      </w:r>
    </w:p>
    <w:p>
      <w:r>
        <w:t xml:space="preserve">   - НАВІЩО: формалізація неформальної експертної методики (§4.9 MVP-модель, §2.4 критерії) — покрокова процедура «вхідні → проміжні → результат» стає ТЗ на алгоритм.</w:t>
      </w:r>
    </w:p>
    <w:p>
      <w:r>
        <w:t xml:space="preserve">   - ФОРМАТ/ДЖЕРЕЛО: робочі аркуші Excel / витяги розрахунків.</w:t>
      </w:r>
    </w:p>
    <w:p>
      <w:r>
        <w:t xml:space="preserve">   - РЕЖИМ: NDA</w:t>
      </w:r>
    </w:p>
    <w:p>
      <w:r>
        <w:t xml:space="preserve">   - ПРІОРИТЕТ: 🔴</w:t>
      </w:r>
    </w:p>
    <w:p/>
    <w:p>
      <w:pPr>
        <w:pStyle w:val="ListNumber"/>
      </w:pPr>
      <w:r>
        <w:t>Формула балансу системи з розшифровкою доданків (генерація, споживання, перетоки, втрати, резерв, аварійний запас) і знаків</w:t>
      </w:r>
    </w:p>
    <w:p>
      <w:r>
        <w:t xml:space="preserve">   - НАВІЩО: задає математичну модель перерахунку (§4.3, §4.4, FR-3.4.2); визначає, що саме перераховується після події.</w:t>
      </w:r>
    </w:p>
    <w:p>
      <w:r>
        <w:t xml:space="preserve">   - ФОРМАТ/ДЖЕРЕЛО: формула + одиниці (МВт·год/МВт), регламент.</w:t>
      </w:r>
    </w:p>
    <w:p>
      <w:r>
        <w:t xml:space="preserve">   - РЕЖИМ: NDA</w:t>
      </w:r>
    </w:p>
    <w:p>
      <w:r>
        <w:t xml:space="preserve">   - ПРІОРИТЕТ: 🔴</w:t>
      </w:r>
    </w:p>
    <w:p/>
    <w:p>
      <w:pPr>
        <w:pStyle w:val="Heading3"/>
      </w:pPr>
      <w:r>
        <w:t>Тема 2. Історичні масиви даних (навчання моделі)</w:t>
      </w:r>
    </w:p>
    <w:p/>
    <w:p>
      <w:pPr>
        <w:pStyle w:val="ListNumber"/>
      </w:pPr>
      <w:r>
        <w:t>Історія фактичних технологічних втрат (помісячно/подобово, погодинно — максимальна глибина)</w:t>
      </w:r>
    </w:p>
    <w:p>
      <w:r>
        <w:t xml:space="preserve">   - НАВІЩО: цільова змінна для навчання MVP-моделі та калібрування Етапу-2 (§3.3, §4.9, §5.2.7); замикання циклу «прогноз → факт» (§4.5).</w:t>
      </w:r>
    </w:p>
    <w:p>
      <w:r>
        <w:t xml:space="preserve">   - ФОРМАТ/ДЖЕРЕЛО: CSV/БД, розріз 750/330 кВ, дискретність година/доба.</w:t>
      </w:r>
    </w:p>
    <w:p>
      <w:r>
        <w:t xml:space="preserve">   - РЕЖИМ: NDA (NDA_CALIBRATED)</w:t>
      </w:r>
    </w:p>
    <w:p>
      <w:r>
        <w:t xml:space="preserve">   - ПРІОРИТЕТ: 🔴</w:t>
      </w:r>
    </w:p>
    <w:p/>
    <w:p>
      <w:pPr>
        <w:pStyle w:val="ListNumber"/>
      </w:pPr>
      <w:r>
        <w:t>Історія балансів генерація/споживання/перетоки</w:t>
      </w:r>
    </w:p>
    <w:p>
      <w:r>
        <w:t xml:space="preserve">   - НАВІЩО: вхідні ознаки моделі (навантаження² як фізичний пріор I²R, §4.9) замість агрегованих ENTSO-E; §3.3 рядок «реальні перетоки».</w:t>
      </w:r>
    </w:p>
    <w:p>
      <w:r>
        <w:t xml:space="preserve">   - ФОРМАТ/ДЖЕРЕЛО: CSV/БД, погодинно.</w:t>
      </w:r>
    </w:p>
    <w:p>
      <w:r>
        <w:t xml:space="preserve">   - РЕЖИМ: NDA (NDA_CALIBRATED)</w:t>
      </w:r>
    </w:p>
    <w:p>
      <w:r>
        <w:t xml:space="preserve">   - ПРІОРИТЕТ: 🔴</w:t>
      </w:r>
    </w:p>
    <w:p/>
    <w:p>
      <w:pPr>
        <w:pStyle w:val="ListNumber"/>
      </w:pPr>
      <w:r>
        <w:t>Реальна топологія магістральної мережі 750/330 кВ та режими (SCADA/АСКОЕ-телеметрія)</w:t>
      </w:r>
    </w:p>
    <w:p>
      <w:r>
        <w:t xml:space="preserve">   - НАВІЩО: §3.3 та §5.2.2 — реальна топологія для AC load-flow і вузлового режиму як точнішого входу I²R; §4.9 Vision (PINN до телеметрії).</w:t>
      </w:r>
    </w:p>
    <w:p>
      <w:r>
        <w:t xml:space="preserve">   - ФОРМАТ/ДЖЕРЕЛО: CIM / PSS/E .raw / ГІС-шар ліній та ПС / експорт SCADA-АСКОЕ.</w:t>
      </w:r>
    </w:p>
    <w:p>
      <w:r>
        <w:t xml:space="preserve">   - РЕЖИМ: держтаємниця (до «цілком таємно»), КСЗІ</w:t>
      </w:r>
    </w:p>
    <w:p>
      <w:r>
        <w:t xml:space="preserve">   - ПРІОРИТЕТ: 🔴</w:t>
      </w:r>
    </w:p>
    <w:p/>
    <w:p>
      <w:pPr>
        <w:pStyle w:val="ListNumber"/>
      </w:pPr>
      <w:r>
        <w:t>Історія цін і заявок РСВ/ВСР/БР (за доступний період)</w:t>
      </w:r>
    </w:p>
    <w:p>
      <w:r>
        <w:t xml:space="preserve">   - НАВІЖО: екран «Сценарії закупівель» (§4.4) — оцінка вартості та ризику небалансу/штрафів; опційний симулятор ринку (§4.6).</w:t>
      </w:r>
    </w:p>
    <w:p>
      <w:r>
        <w:t xml:space="preserve">   - ФОРМАТ/ДЖЕРЕЛО: CSV/вивантаження від оператора ринку, погодинні ціни.</w:t>
      </w:r>
    </w:p>
    <w:p>
      <w:r>
        <w:t xml:space="preserve">   - РЕЖИМ: NDA</w:t>
      </w:r>
    </w:p>
    <w:p>
      <w:r>
        <w:t xml:space="preserve">   - ПРІОРИТЕТ: 🟡 (для ядра втрат не блокер; блокер для цінової складової сценаріїв)</w:t>
      </w:r>
    </w:p>
    <w:p/>
    <w:p>
      <w:pPr>
        <w:pStyle w:val="ListNumber"/>
      </w:pPr>
      <w:r>
        <w:t>Графіки/журнали відключень (планові ГПВ/ГАВ та аварійні)</w:t>
      </w:r>
    </w:p>
    <w:p>
      <w:r>
        <w:t xml:space="preserve">   - НАВІЩО: календарні чинники моделі (§3.3, §4.9 — сезонність/свята/конфігурація); коректний прогноз у нетипові/воєнні дні.</w:t>
      </w:r>
    </w:p>
    <w:p>
      <w:r>
        <w:t xml:space="preserve">   - ФОРМАТ/ДЖЕРЕЛО: журнали/CSV, дата-час, обсяг відключеної потужності.</w:t>
      </w:r>
    </w:p>
    <w:p>
      <w:r>
        <w:t xml:space="preserve">   - РЕЖИМ: NDA</w:t>
      </w:r>
    </w:p>
    <w:p>
      <w:r>
        <w:t xml:space="preserve">   - ПРІОРИТЕТ: 🟡</w:t>
      </w:r>
    </w:p>
    <w:p/>
    <w:p>
      <w:pPr>
        <w:pStyle w:val="Heading3"/>
      </w:pPr>
      <w:r>
        <w:t>Тема 3. Погодні фактори (драйвер «корона»)</w:t>
      </w:r>
    </w:p>
    <w:p/>
    <w:p>
      <w:pPr>
        <w:pStyle w:val="ListNumber"/>
      </w:pPr>
      <w:r>
        <w:t>Емпіричні коефіцієнти погода→споживання / погода→втрати (якщо документовані)</w:t>
      </w:r>
    </w:p>
    <w:p>
      <w:r>
        <w:t xml:space="preserve">    - НАВІЩО: FR-3.7.1, §3.2 (корона — погодозалежний драйвер 750 кВ); §4.2 «погодна надбавка» та feature-engineering під корону.</w:t>
      </w:r>
    </w:p>
    <w:p>
      <w:r>
        <w:t xml:space="preserve">    - ФОРМАТ/ДЖЕРЕЛО: таблиця/графік (МВт/°C, кВт/км за типом опадів), регламент.</w:t>
      </w:r>
    </w:p>
    <w:p>
      <w:r>
        <w:t xml:space="preserve">    - РЕЖИМ: NDA</w:t>
      </w:r>
    </w:p>
    <w:p>
      <w:r>
        <w:t xml:space="preserve">    - ПРІОРИТЕТ: 🟡</w:t>
      </w:r>
    </w:p>
    <w:p/>
    <w:p>
      <w:pPr>
        <w:pStyle w:val="ListNumber"/>
      </w:pPr>
      <w:r>
        <w:t>Джерело прогнозу погоди, яким користується НЕК (постачальник, формат, горизонт, гео-прив'язка до ліній)</w:t>
      </w:r>
    </w:p>
    <w:p>
      <w:r>
        <w:t xml:space="preserve">    - НАВІЩО: FR-3.7.1 (метео обов'язкове, ≥2 джерела, гео-прив'язка) — на Етапі-2 комерційні/відомчі метеоджерела під NDA замість відкритих.</w:t>
      </w:r>
    </w:p>
    <w:p>
      <w:r>
        <w:t xml:space="preserve">    - ФОРМАТ/ДЖЕРЕЛО: назва постачальника, API/формат, горизонт прогнозу.</w:t>
      </w:r>
    </w:p>
    <w:p>
      <w:r>
        <w:t xml:space="preserve">    - РЕЖИМ: NDA</w:t>
      </w:r>
    </w:p>
    <w:p>
      <w:r>
        <w:t xml:space="preserve">    - ПРІОРИТЕТ: 🟡</w:t>
      </w:r>
    </w:p>
    <w:p/>
    <w:p>
      <w:pPr>
        <w:pStyle w:val="Heading3"/>
      </w:pPr>
      <w:r>
        <w:t>Тема 4. Відновлення після аварій (Ф «Прогноз відновлення»)</w:t>
      </w:r>
    </w:p>
    <w:p/>
    <w:p>
      <w:pPr>
        <w:pStyle w:val="ListNumber"/>
      </w:pPr>
      <w:r>
        <w:t>Журнал аварій і відновлень по об'єктах (підстанції/лінії/трансформатори)</w:t>
      </w:r>
    </w:p>
    <w:p>
      <w:r>
        <w:t xml:space="preserve">    - НАВІЩО: калібрування прогнозу відновлення та закупівлі на період відновлення; вхід події у §4.1 (ручний ввід контексту).</w:t>
      </w:r>
    </w:p>
    <w:p>
      <w:r>
        <w:t xml:space="preserve">    - ФОРМАТ/ДЖЕРЕЛО: журнал/CSV: об'єкт → подія → строк відновлення.</w:t>
      </w:r>
    </w:p>
    <w:p>
      <w:r>
        <w:t xml:space="preserve">    - РЕЖИМ: держтаємниця (до «цілком таємно»), КСЗІ</w:t>
      </w:r>
    </w:p>
    <w:p>
      <w:r>
        <w:t xml:space="preserve">    - ПРІОРИТЕТ: 🟡</w:t>
      </w:r>
    </w:p>
    <w:p/>
    <w:p>
      <w:pPr>
        <w:pStyle w:val="ListNumber"/>
      </w:pPr>
      <w:r>
        <w:t>Нормативи строків аварійно-відновлювальних робіт по типах обладнання</w:t>
      </w:r>
    </w:p>
    <w:p>
      <w:r>
        <w:t xml:space="preserve">    - НАВІЩО: готова таблиця «тип об'єкта → строк» замість оцінок для блоку відновлення.</w:t>
      </w:r>
    </w:p>
    <w:p>
      <w:r>
        <w:t xml:space="preserve">    - ФОРМАТ/ДЖЕРЕЛО: довідник/норматив (PDF/таблиця).</w:t>
      </w:r>
    </w:p>
    <w:p>
      <w:r>
        <w:t xml:space="preserve">    - РЕЖИМ: NDA</w:t>
      </w:r>
    </w:p>
    <w:p>
      <w:r>
        <w:t xml:space="preserve">    - ПРІОРИТЕТ: 🟡</w:t>
      </w:r>
    </w:p>
    <w:p/>
    <w:p>
      <w:pPr>
        <w:pStyle w:val="Heading3"/>
      </w:pPr>
      <w:r>
        <w:t>Тема 5. Базова лінія та контракт події</w:t>
      </w:r>
    </w:p>
    <w:p/>
    <w:p>
      <w:pPr>
        <w:pStyle w:val="ListNumber"/>
      </w:pPr>
      <w:r>
        <w:t>Будь-яка наявна оцінка точності теперішніх прогнозів (звіти «факт/прогноз», MAPE/MAE/bias)</w:t>
      </w:r>
    </w:p>
    <w:p>
      <w:r>
        <w:t xml:space="preserve">    - НАВІЩО: фіксує baseline (§2.4, §4.5) — без нього немає з чим порівнювати модель і нема критерію приймання Етапу-2 (§6.2).</w:t>
      </w:r>
    </w:p>
    <w:p>
      <w:r>
        <w:t xml:space="preserve">    - ФОРМАТ/ДЖЕРЕЛО: звіти/таблиці, % окремо для втрат і для закупівлі.</w:t>
      </w:r>
    </w:p>
    <w:p>
      <w:r>
        <w:t xml:space="preserve">    - РЕЖИМ: NDA</w:t>
      </w:r>
    </w:p>
    <w:p>
      <w:r>
        <w:t xml:space="preserve">    - ПРІОРИТЕТ: 🔴</w:t>
      </w:r>
    </w:p>
    <w:p/>
    <w:p>
      <w:pPr>
        <w:pStyle w:val="ListNumber"/>
      </w:pPr>
      <w:r>
        <w:t>Бажаний формат ручного вводу фізичного контексту події в A3 (+ опціонально формат автоматичних подій від A1 через шину)</w:t>
      </w:r>
    </w:p>
    <w:p>
      <w:r>
        <w:t xml:space="preserve">    - НАВІЩО: ручний ввід події у §4.1 — обов'язковий для самостійної роботи A3; опціональний контракт шини A1→A3 (UE-BUS.ТЗ) — бонус-зв'язок (§4.7 FR-3.7.3).</w:t>
      </w:r>
    </w:p>
    <w:p>
      <w:r>
        <w:t xml:space="preserve">    - ФОРМАТ/ДЖЕРЕЛО: перелік полів події + бажаний UI-формат; (опц.) JSON-контракт шини.</w:t>
      </w:r>
    </w:p>
    <w:p>
      <w:r>
        <w:t xml:space="preserve">    - РЕЖИМ: NDA</w:t>
      </w:r>
    </w:p>
    <w:p>
      <w:r>
        <w:t xml:space="preserve">    - ПРІОРИТЕТ: 🟡</w:t>
      </w:r>
    </w:p>
    <w:p/>
    <w:p>
      <w:pPr>
        <w:pStyle w:val="Heading3"/>
      </w:pPr>
      <w:r>
        <w:t>Тема 6. Середовище Етапу-2 (організаційне)</w:t>
      </w:r>
    </w:p>
    <w:p/>
    <w:p>
      <w:pPr>
        <w:pStyle w:val="ListNumber"/>
      </w:pPr>
      <w:r>
        <w:t>Атестований за КСЗІ захищений контур та призначення відповідальних за допуски (RBAC)</w:t>
      </w:r>
    </w:p>
    <w:p>
      <w:r>
        <w:t xml:space="preserve">    - НАВІЩО: §4.10.2, §5.2.1, §7 — обробка реальних даних до «цілком таємно» можлива лише в атестованому контурі; окремий допуск саме до АС «Прогноз втрат».</w:t>
      </w:r>
    </w:p>
    <w:p>
      <w:r>
        <w:t xml:space="preserve">    - ФОРМАТ/ДЖЕРЕЛО: атестат відповідності КСЗІ (НД ТЗІ), наказ про допуски, матриця ролей.</w:t>
      </w:r>
    </w:p>
    <w:p>
      <w:r>
        <w:t xml:space="preserve">    - РЕЖИМ: держтаємниця / NDA</w:t>
      </w:r>
    </w:p>
    <w:p>
      <w:r>
        <w:t xml:space="preserve">    - ПРІОРИТЕТ: 🔴</w:t>
      </w:r>
    </w:p>
    <w:p/>
    <w:p/>
    <w:p>
      <w:pPr>
        <w:pStyle w:val="Heading2"/>
      </w:pPr>
      <w:r>
        <w:t>Безпека / КСЗІ / НД ТЗІ (наскрізне для A1/A2/A3 та опціональної Шини)</w:t>
      </w:r>
    </w:p>
    <w:p/>
    <w:p>
      <w:pPr>
        <w:ind w:left="454"/>
      </w:pPr>
      <w:r>
        <w:rPr>
          <w:i/>
        </w:rPr>
        <w:t>Цей розділ зведено наскрізно для всіх продуктів і опціональної Шини. Запит адресується спільно РСО НЕК «Укренерго», СЗІ в АС та залученому ліцензіату Держспецзв'язку на ТЗІ. Кожен пункт — це артефакт, який виконавець просить надати або підтвердити для переходу на Етап-2 (реальні дані під NDA + побудова й атестація КСЗІ). Режим самих запитуваних документів варіюється: частина — ДСК/відкрита нормативка, частина — обмеженого доступу, окремі переліки — за грифом.</w:t>
      </w:r>
    </w:p>
    <w:p/>
    <w:p>
      <w:pPr>
        <w:pStyle w:val="Heading3"/>
      </w:pPr>
      <w:r>
        <w:t>Тема A. Юридична основа грифування (ЗВДТ)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  <w:sz w:val="20"/>
              </w:rPr>
              <w:t>#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Назва документа / набору даних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Навіщо (пункт ТЗ)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Формат / джерело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Режим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Пріоритет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A.1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Витяг із ЗВДТ — застосовні статті/пункти щодо об'єктів електроенергетики, вразливостей, стану захищеності системи передачі, мобілізаційної/військової складової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UE-A1 п. 1.5, 4.1.6, 8; основа грифування виходів усіх продуктів та розмітки `data_origin`/грифу на Шині (BUS 3.3, 4.4.4)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Витяг/довідка РСО з посиланнями на пункти ЗВДТ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NDA / обмежений доступ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🔴 блокер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A.2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Розбивка грифу за рівнем агрегації — окрема картка об'єкта vs зведена карта країни vs результат war-gaming (мінімальний набір Pareto)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UE-A1 п. 4.1.8 (ізоляція контурів), 4.2.1/4.2.2; визначає кількість ізольованих контурів обробки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Таблиця: вид виходу → гриф → пункт ЗВДТ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NDA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🔴 блокер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A.3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Гриф вхідних даних — топологія 750/330/110 кВ, координати об'єктів, параметри обладнання, історія інцидентів/ударів, час відновлення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UE-A1 п. 3.5, 4.3; визначає гриф самих БД продуктів, а не лише виходів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Перелік типів даних → гриф → пункт ЗВДТ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NDA / держтаємниця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🟡 бажано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A.4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Процедура присвоєння/зняття грифу на згенерованих артефактах (звіти агентного контуру, саммарі для керівництва)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UE-A1 п. 4.2.4, 8; визначає потребу у механізмі авто-маркування грифу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Опис процедури + відповідальна роль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ДСК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🟡 бажано</w:t>
            </w:r>
          </w:p>
        </w:tc>
      </w:tr>
    </w:tbl>
    <w:p/>
    <w:p/>
    <w:p>
      <w:pPr>
        <w:pStyle w:val="Heading3"/>
      </w:pPr>
      <w:r>
        <w:t>Тема B. Класифікація АС та профіль захищеності (НД ТЗІ 2.5-005-99 / 2.5-004-99)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  <w:sz w:val="20"/>
              </w:rPr>
              <w:t>#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Назва документа / набору даних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Навіщо (пункт ТЗ)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Формат / джерело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Режим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Пріоритет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B.1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Рішення про клас АС (клас 1 / 2 / 3) цільової конфігурації Етапу-2 + топологія розгортання (ізольоване приміщення чи розподілений доступ)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UE-A1 п. 4.1.1, 4.1.6; клас АС визначає весь обсяг застосовних вимог НД ТЗІ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Клас + обґрунтування (схема розгортання)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NDA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🔴 блокер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B.2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Модель розділення рівнів конфіденційності — скільки грифів в одній АС, фізичне чи мандатне (multi-level) розмежування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UE-A1 п. 4.1.8, 5.2; multi-level — найдорожчий випадок КСЗІ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Перелік рівнів + модель розділення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NDA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🔴 блокер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B.3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Зразок чинного ФПЗ (точний рядок функціональних послуг: КД/КА/КО, ЦД/ЦА/ЦО, ДР/ДВ/ДЗ, НР/НИ/НК/НО/НЦ/НТ) з аналогічної таємної АС Укренерго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UE-A1 п. 4.1.6; ядро технічних вимог до КСЗІ — без ФПЗ функції захисту неспецифіковні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Позначення профілю + документ-зразок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NDA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🔴 блокер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B.4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Вимоги до рівня гарантій (Г-1…Г-7 за НД ТЗІ 2.5-004-99) для цього грифу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UE-A1 п. 4.1.6, 6 (атестація); рівень гарантій прямо впливає на обсяг верифікації та вартість Етапу-2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Рівень гарантій (число) + обґрунтування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NDA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🔴 блокер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B.5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Вимоги до спостереженості/аудиту — перелік подій для реєстрації, глибина зберігання журналів, потреба у незмінному (WORM/append-only) журналі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UE-A1 п. 4.1.4, 4.1.7; для Шини — незмінний наскрізний журнал кореляції (BUS FR-BUS-4.3)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Перелік подій + строк зберігання + вимога незмінності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ДСК / NDA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🟡 бажано</w:t>
            </w:r>
          </w:p>
        </w:tc>
      </w:tr>
    </w:tbl>
    <w:p/>
    <w:p/>
    <w:p>
      <w:pPr>
        <w:pStyle w:val="Heading3"/>
      </w:pPr>
      <w:r>
        <w:t>Тема C. Модель загроз і порушника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  <w:sz w:val="20"/>
              </w:rPr>
              <w:t>#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Назва документа / набору даних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Навіщо (пункт ТЗ)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Формат / джерело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Режим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Пріоритет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C.1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Модель порушника для систем цього грифу — категорії (інсайдер-аналітик з допуском, іноземна технічна розвідка, кібероперація противника) + розрахунковий рівень можливостей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UE-A1 п. 4.1.6, 4.1.8; обґрунтовує вибір ФПЗ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Перелік категорій + рівень можливостей + зразок наявної моделі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NDA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🔴 блокер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C.2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Перелік актуальних каналів витоку — НСД через мережу, технічні канали (ПЕМВН/побічні випромінювання), фізичний винос носіїв, компрометація постачання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UE-A1 п. 4.1.6 («захист від витоку технічними каналами»); потреба у ПЕМВН-захисті різко змінює вимоги до приміщення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Перелік каналів + позначка обов'язкових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NDA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🔴 блокер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C.3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Затверджена модель загроз суміжних АС (диспетчерські, АСКТП підстанцій за СОУ НЕК 33.200.0-35:2025) як база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UE-A1 п. 4.1.9, 5.2; дозволяє не будувати модель загроз з нуля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Затверджений документ моделі загроз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NDA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🟡 бажано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C.4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Модель загроз міжпродуктового каналу Шини — ризик зловживання горизонтальним каналом A1↔A2↔A3, експорт чутливих ланцюгів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BUS п. 4.5 (двосторонність, обов'язкова модель загроз); 8.1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Документ/узгодження (формується спільно)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NDA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🟡 бажано (лише за впровадження Шини)</w:t>
            </w:r>
          </w:p>
        </w:tc>
      </w:tr>
    </w:tbl>
    <w:p/>
    <w:p/>
    <w:p>
      <w:pPr>
        <w:pStyle w:val="Heading3"/>
      </w:pPr>
      <w:r>
        <w:t>Тема D. Рольова модель і допуски (RBAC — окремо на кожен продукт)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  <w:sz w:val="20"/>
              </w:rPr>
              <w:t>#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Назва документа / набору даних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Навіщо (пункт ТЗ)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Формат / джерело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Режим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Пріоритет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D.1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Матриця ролей × ресурс → доступ для кожного продукту окремо (диспетчер / старший аналітик / вище керівництво × екран/тип даних/гриф) за принципом «знати лише необхідне»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UE-A1 п. 4.1.6, 4.2; основа реалізації RBAC; для Шини — наскрізна матриця роздільних допусків (BUS 4.4.2–4.4.3)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Матриця доступу (таблиця), окремо A1/A2/A3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NDA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🔴 блокер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D.2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Прив'язка ролей до форм допуску до держтаємниці (форма 1/2/3) за рівнями користувачів кожного продукту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UE-A1 п. 7, 4.1.6; зв'язує технічні ролі з реальними допусками персоналу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Роль → форма допуску → гриф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NDA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🔴 блокер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D.3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Вимоги до автентифікації за ролями — пароль / апаратний токен / смарт-карта / 2FA / біометрія (чинна практика на таємних АС)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UE-A1 п. 4.1.6 (ідентифікація/автентифікація)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Роль → засіб автентифікації (сертифіковані засоби)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ДСК / NDA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🟡 бажано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D.4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Положення про СЗІ в АС (НД ТЗІ 1.4-001-2000) + правила розділення обов'язків привілейованих ролей (адмін АС / адмін безпеки / аудитор)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UE-A1 п. 4.1.4; службові ролі поза трьома користувацькими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Чинне положення / регламент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ДСК / NDA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🟡 бажано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D.5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Матриця наскрізних допусків RBAC Шини — підтвердження роздільності допусків між продуктами (допуск до A1 ≠ допуск до A2/A3)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BUS п. 4.4, 7; гриф-бар'єр і роздільні допуски на реальних даних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Затверджена матриця наскрізних допусків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NDA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🟡 бажано (за впровадження Шини)</w:t>
            </w:r>
          </w:p>
        </w:tc>
      </w:tr>
    </w:tbl>
    <w:p/>
    <w:p/>
    <w:p>
      <w:pPr>
        <w:pStyle w:val="Heading3"/>
      </w:pPr>
      <w:r>
        <w:t>Тема E. Створення й атестація КСЗІ (НД ТЗІ 3.7-003-2005)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  <w:sz w:val="20"/>
              </w:rPr>
              <w:t>#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Назва документа / набору даних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Навіщо (пункт ТЗ)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Формат / джерело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Режим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Пріоритет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E.1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Порядок створення КСЗІ — виконавець (внутрішня СЗІ чи зовнішній ліцензіат), етапи, обов'язкові документи (ТЗ на КСЗІ, акт обстеження, план захисту, ПМВ), орієнтовні строки атестації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UE-A1 розд. 5 (Етап-2), 6, 8; визначає склад робіт і строки Етапу-2; для Шини — атестація каналу (BUS 5 Етап-2)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Перелік етапів + перелік документів + строк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ДСК / NDA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🔴 блокер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E.2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Перелік сертифікованих/дозволених засобів захисту з експертним висновком Держспецзв'язку — ОС, СУБД, КЗЗ, антивірус, засоби розмежування доступу; чи допустимий стек ТЗ (Linux/PostgreSQL/FastAPI/React)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UE-A1 п. 4.1.9, 4.3; може суттєво змінити технологічний стек Етапу-2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Перелік компонентів + допустимі сертифіковані варіанти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ДСК / NDA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🔴 блокер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E.3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Вимоги до криптозахисту — потреба у сертифікованому КЗЗ (ДСТУ ГОСТ 34.311 / національні алгоритми) для шифрування БД і каналів; для Шини — криптозахист каналу обміну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UE-A1 п. 4.1.6; BUS п. 4.5 (криптозахист каналів)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Клас/засіб КЗЗ + сфера застосування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NDA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🟡 бажано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E.4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Критерії приймання за КСЗІ на приймальних випробуваннях — чи достатньо атестата відповідності, чи потрібні спецдослідження/спецвплив техніки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UE-A1 розд. 6; BUS розд. 6 (Етап-2 у складі атестованого контуру)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Перелік критеріїв + перелік випробувань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ДСК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🟡 бажано</w:t>
            </w:r>
          </w:p>
        </w:tc>
      </w:tr>
    </w:tbl>
    <w:p/>
    <w:p/>
    <w:p>
      <w:pPr>
        <w:pStyle w:val="Heading3"/>
      </w:pPr>
      <w:r>
        <w:t>Тема F. Режимне середовище, носії, зовнішні LLM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  <w:sz w:val="20"/>
              </w:rPr>
              <w:t>#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Назва документа / набору даних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Навіщо (пункт ТЗ)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Формат / джерело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Режим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Пріоритет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F.1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Режимні умови атестованого середовища — категорія приміщення (1/2/3), контрольована зона, мережева ізоляція (окрема ЛОМ без Інтернету), вимоги до робочих місць; майданчик розгортання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UE-A1 п. 4.1.6, 6, 7; інфраструктурні передумови Етапу-2 для всіх продуктів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Опис режимних умов + категорія приміщення + схема ізоляції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NDA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🔴 блокер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F.2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Процедура обліку носіїв і гарантованого знищення даних обмеженого доступу (диски, резервні копії, тимчасові файли, результати прогону 100 000+ сценаріїв war-gaming)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UE-A1 п. 4.1.6, 4.1.7, 4.2.2; підсистема обліку/знищення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Опис процедури + стандарт затирання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ДСК / NDA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🟡 бажано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F.3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Позиція РСО щодо зовнішніх LLM (Anthropic Opus) до таємних даних — дозвіл / умови / заборона; чи має модель Етапу-2 бути локальною/он-прем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UE-A1 п. 4.2.4, 4.3; критично для архітектури агентного контуру всіх продуктів і агента-бібліотекаря Шини (BUS FR-BUS-4.2)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Дозвіл/заборона + умови (локальний інференс, ізоляція)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NDA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🔴 блокер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F.4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Процедура санкціонування експорту/вивантаження результатів (PDF-звіти, графіки) + вимоги до маркування грифу, водяного знака, облікового номера артефактів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UE-A1 п. 8, 4.2.4; підсистема експорту/маркування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Процедура + вимоги до маркування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ДСК / NDA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🟡 бажано</w:t>
            </w:r>
          </w:p>
        </w:tc>
      </w:tr>
    </w:tbl>
    <w:p/>
    <w:p/>
    <w:p>
      <w:pPr>
        <w:pStyle w:val="Heading3"/>
      </w:pPr>
      <w:r>
        <w:t>Тема G. КСЗІ опціональної Шини (лише за горизонтальної інтеграції A1↔A2↔A3)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  <w:sz w:val="20"/>
              </w:rPr>
              <w:t>#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Назва документа / набору даних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Навіщо (пункт ТЗ)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Формат / джерело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Режим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Пріоритет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G.1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Позиція щодо грифу трафіку Шини та потреби окремої атестації — чи створює об'єднання потоків різних продуктів новий рівень агрегації (підвищення грифу); чи атестувати Шину як окрему АС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BUS п. 3.3, 4.1.8, 4.4.4, 5 (Етап-2); UE-A1 п. 4.1.8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Гриф трафіку + рішення «окрема атестація: так/ні» + обґрунтування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NDA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🟡 бажано (лише за впровадження Шини)</w:t>
            </w:r>
          </w:p>
        </w:tc>
      </w:tr>
    </w:tbl>
    <w:p/>
    <w:p/>
    <w:p/>
    <w:p>
      <w:pPr>
        <w:ind w:left="454"/>
      </w:pPr>
      <w:r>
        <w:rPr>
          <w:i/>
        </w:rPr>
        <w:t>Зведення блокерів Етапу-2: A.1, A.2, B.1, B.2, B.3, B.4, C.1, C.2, D.1, D.2, E.1, E.2, F.1, F.3. Без цих артефактів неможливо специфікувати КСЗІ, обрати дозволений технологічний стек і спланувати строки/вартість атестації. Пункти Шини (C.4, D.5, G.1) активуються лише за рішення про горизонтальну інтеграцію продуктів.</w:t>
      </w:r>
    </w:p>
    <w:p/>
    <w:p>
      <w:r>
        <w:t>Джерела: d:/ВС коде вайбкодинг/Укренерго/deliverables/_TZ_BUS.md, d:/ВС коде вайбкодинг/Укренерго/deliverables/QUESTIONS_SEC_kszi.md.</w:t>
      </w:r>
    </w:p>
    <w:p/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40"/>
      <w:ind w:firstLine="709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ind w:firstLine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ind w:firstLine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ind w:firstLine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