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СУКУПНА ВАРТІСТЬ ВОЛОДІННЯ</w:t>
        <w:br/>
        <w:t>(TCO, 5 років)</w:t>
      </w:r>
    </w:p>
    <w:p/>
    <w:p/>
    <w:p>
      <w:pPr>
        <w:jc w:val="center"/>
      </w:pPr>
      <w:r>
        <w:rPr>
          <w:sz w:val="22"/>
        </w:rPr>
        <w:t>Позначення документа: UE-3PROD.TCO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Сукупна вартість володіння (TCO) за 5 років</w:t>
      </w:r>
    </w:p>
    <w:p/>
    <w:p>
      <w:r>
        <w:t>Фінансовий аналіз для Правління та фінансового контролю</w:t>
      </w:r>
    </w:p>
    <w:p/>
    <w:p/>
    <w:p>
      <w:r>
        <w:t>Замовник: ПрАТ «НЕК «УКРЕНЕРГО», ЄДРПОУ 00100227, 01032, м. Київ, вул. Симона Петлюри, 25</w:t>
      </w:r>
    </w:p>
    <w:p/>
    <w:p>
      <w:r>
        <w:t>Адресат документа: Фінансовий директор (CFO), фінансовий контролер, Правління</w:t>
      </w:r>
    </w:p>
    <w:p/>
    <w:p>
      <w:r>
        <w:t>Предмет: Сукупна вартість володіння рішенням (три самостійні цифрові продукти — кожен працює без інших — + опціональна платформа-шина для їх інтеграції) на горизонті 5 років</w:t>
      </w:r>
    </w:p>
    <w:p/>
    <w:p>
      <w:r>
        <w:t>Демонстраційний доступ (PROOF): https://ukrenergo.radai-1984.dev — три продукти; наскрізний сценарій та агентний контур 24/7 показані як опціональна Модель B (горизонт інтеграції), а не як умова</w:t>
      </w:r>
    </w:p>
    <w:p/>
    <w:p/>
    <w:p>
      <w:pPr>
        <w:pStyle w:val="Heading2"/>
      </w:pPr>
      <w:r>
        <w:t>1. Навіщо TCO, NPV і чистий ефект, а не CAPEX</w:t>
      </w:r>
    </w:p>
    <w:p/>
    <w:p>
      <w:r>
        <w:t>Рішення про інвестицію такого масштабу не можна ухвалювати за разовою цифрою впровадження (CAPEX). Капітальні витрати — це лише точка входу; реальне навантаження на бюджет визначає сукупна вартість володіння (TCO) за весь життєвий цикл: підтримка, інфраструктура, ліцензії та навчання, накопичені за роки експлуатації.</w:t>
      </w:r>
    </w:p>
    <w:p/>
    <w:p>
      <w:r>
        <w:t>Але навіть TCO недостатньо для фінансового рішення. CFO ухвалює інвестицію за чистим дисконтованим результатом (NPV), окупністю (payback) та внутрішньою нормою дохідності (IRR), а не за сумою витрат. Тому цей документ:</w:t>
      </w:r>
    </w:p>
    <w:p/>
    <w:p>
      <w:pPr>
        <w:pStyle w:val="ListNumber"/>
      </w:pPr>
      <w:r>
        <w:t>Зводить усі компоненти витрат у єдину п'ятирічну модель (розділи 3–7).</w:t>
      </w:r>
    </w:p>
    <w:p>
      <w:pPr>
        <w:pStyle w:val="ListNumber"/>
      </w:pPr>
      <w:r>
        <w:t>Інтегрує вигоди та рахує дисконтований грошовий потік, NPV, payback, IRR (розділ 8).</w:t>
      </w:r>
    </w:p>
    <w:p>
      <w:pPr>
        <w:pStyle w:val="ListNumber"/>
      </w:pPr>
      <w:r>
        <w:t>Чесно показує діапазон альтернатив і межі власних припущень (розділи 5, 9, 10).</w:t>
      </w:r>
    </w:p>
    <w:p/>
    <w:p>
      <w:r>
        <w:t>Порівнюються три сценарії:</w:t>
      </w:r>
    </w:p>
    <w:p/>
    <w:p>
      <w:pPr>
        <w:pStyle w:val="ListBullet"/>
      </w:pPr>
      <w:r>
        <w:t>Статус-кво — нічого не впроваджувати, продовжувати нести задокументовані втрати та ризики.</w:t>
      </w:r>
    </w:p>
    <w:p>
      <w:pPr>
        <w:pStyle w:val="ListBullet"/>
      </w:pPr>
      <w:r>
        <w:t>Наше рішення — модель повного володіння без vendor lock-in.</w:t>
      </w:r>
    </w:p>
    <w:p>
      <w:pPr>
        <w:pStyle w:val="ListBullet"/>
      </w:pPr>
      <w:r>
        <w:t>Проприетарний західний вендор — еквівалентний за функціоналом продукт від великого постачальника (Palantir/Siemens-клас), поданий діапазоном, а не точкою.</w:t>
      </w:r>
    </w:p>
    <w:p/>
    <w:p>
      <w:r>
        <w:t>Усі допущення позначені явно тегом [ПРИПУЩЕННЯ]. Базові ціни нашого рішення — фактичні, з комерційної пропозиції та обґрунтування вартості (Annex — кошторис, обґрунтування на 70 джерелах; походження кожної базової цифри зведено в Annex A розділу 11).</w:t>
      </w:r>
    </w:p>
    <w:p/>
    <w:p>
      <w:pPr>
        <w:ind w:left="454"/>
      </w:pPr>
      <w:r>
        <w:rPr>
          <w:i/>
        </w:rPr>
        <w:t>Чесна рамка порівняння. Ми не стверджуємо, що знаємо точну ціну західного вендора — реальної комерційної пропозиції на еквівалентний скоуп у нас немає. Тому перевагу нашого рішення ми будуємо не на тезі «ми дешевші за конкретного вендора на конкретну суму», а на двох речах, які захищаються незалежно від чужої ціни: (1) повне володіння вихідним кодом і правами, (2) відсутність ліцензійної ренти, яка у проприетарній моделі не зникає ніколи.</w:t>
      </w:r>
    </w:p>
    <w:p/>
    <w:p/>
    <w:p>
      <w:pPr>
        <w:pStyle w:val="Heading2"/>
      </w:pPr>
      <w:r>
        <w:t>2. Базові факти, на яких побудована модель</w:t>
      </w:r>
    </w:p>
    <w:p/>
    <w:p>
      <w:pPr>
        <w:pStyle w:val="Heading3"/>
      </w:pPr>
      <w:r>
        <w:t>2.1. Капітальні витрати (CAPEX) — фактичні ціни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Продукт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Повна версія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MVP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Окупність (базовий ROI)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Річний ефект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Продукт №1 — Система управління ризиками безпеки та прогнозування загроз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$26,9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$10,8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~1,9 року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600 млн грн/рік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Продукт №2 — Система виявлення зловживань на енергоринку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$15,1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$6,0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~4,7 року (комплаєнс REMIT)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134 млн грн/рік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Продукт №3 — Прогноз технологічних втрат передачі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$9,1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$3,7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~2,0 року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190 млн грн/рік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Модель A (роздільно)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$51,1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Модель B (єдина платформа, −25%)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$38,4 млн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sz w:val="20"/>
              </w:rPr>
              <w:t>—</w:t>
            </w:r>
          </w:p>
        </w:tc>
      </w:tr>
    </w:tbl>
    <w:p/>
    <w:p/>
    <w:p>
      <w:r>
        <w:t>Курс: базовий 42 грн/$ ([ПРИПУЩЕННЯ] — для цілей моделювання). Оскільки CAPEX і підтримка номіновані в доларах, а ефект — у гривні, валютний ризик асиметричний; стрес-сценарії девальвації 48–55 грн/$ розкрито в розділі 9.</w:t>
      </w:r>
    </w:p>
    <w:p/>
    <w:p>
      <w:pPr>
        <w:ind w:left="454"/>
      </w:pPr>
      <w:r>
        <w:rPr>
          <w:i/>
        </w:rPr>
        <w:t>Про річний ефект (600/134/190 млн грн/рік). Ці цифри походять з окремого документа «Обґрунтування ROI» і в цьому документі не виводяться — вони використовуються у розділі 8 виключно як вигоди нашого рішення, з явним посиланням на методику (Annex). Вони не використовуються для розрахунку «вартості бездіяльності» статус-кво (див. зауваження до подвійного рахунку — розділ 7).</w:t>
      </w:r>
    </w:p>
    <w:p/>
    <w:p>
      <w:r>
        <w:t>Драйвер цінності: розблокування +500 МВт експортно-імпортної ємності ENTSO-E (зростання з 1200 до 1700 МВт, рішення від 28.11.2023). Цей наскрізний ефект розкривається за наявності всіх трьох продуктів разом (Модель B / горизонт інтеграції) і не є умовою впровадження жодного окремого продукту. Кожен із трьох продуктів має власний per-product ефект незалежно від інших (600 / 134 / 190 млн грн/рік відповідно — див. таблицю вище); +500 МВт — це додатковий синергетичний апсайд горизонту, а не сума цих per-product ефектів.</w:t>
      </w:r>
    </w:p>
    <w:p/>
    <w:p>
      <w:pPr>
        <w:pStyle w:val="Heading3"/>
      </w:pPr>
      <w:r>
        <w:t>2.2. Контекст витрат «нічого не робити» (для оцінки статус-кво)</w:t>
      </w:r>
    </w:p>
    <w:p/>
    <w:p>
      <w:pPr>
        <w:pStyle w:val="ListBullet"/>
      </w:pPr>
      <w:r>
        <w:t>Кібератака 22.03.2024 — збиток ОСП 90–100 млн EUR.</w:t>
      </w:r>
    </w:p>
    <w:p>
      <w:pPr>
        <w:pStyle w:val="ListBullet"/>
      </w:pPr>
      <w:r>
        <w:t>Прямі збитки системи передачі — $2,1 млрд (оцінка KSE).</w:t>
      </w:r>
    </w:p>
    <w:p>
      <w:pPr>
        <w:pStyle w:val="ListBullet"/>
      </w:pPr>
      <w:r>
        <w:t>Чистий збиток компанії за 2024 рік — 37,7 млрд грн.</w:t>
      </w:r>
    </w:p>
    <w:p>
      <w:pPr>
        <w:pStyle w:val="ListBullet"/>
      </w:pPr>
      <w:r>
        <w:t>Річна інвестиційна програма — ~4,36 млрд грн/рік.</w:t>
      </w:r>
    </w:p>
    <w:p>
      <w:pPr>
        <w:pStyle w:val="ListBullet"/>
      </w:pPr>
      <w:r>
        <w:t>Зобов'язання за синхронізацією ENTSO-E (16.03.2022) та членством (14.12.2023); Catalogue of Measures (28.06.2017) — 4 категорії заходів: Protection and Dynamic Stability; Operations and Markets; Legal and Regulatory; IT including Cybersecurity. Невиконання частини заходів несе регуляторний ризик і ризик санкцій REMIT.</w:t>
      </w:r>
    </w:p>
    <w:p/>
    <w:p>
      <w:pPr>
        <w:pStyle w:val="Heading3"/>
      </w:pPr>
      <w:r>
        <w:t>2.3. Ринкові якорі цін (для оцінки проприетарного вендора)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Якір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Вартість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Що покриває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EBRD EMS+SCADA, Боснія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EUR 8,5 млн (~$9 млн)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EMS/SCADA одна функція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Siemens SCADA/EMS, PSE (Польща)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$20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SCADA/EMS одна функція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Nasdaq SMARTS (нагляд за ринком)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$77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лише нагляд за ринком (= скоуп A2)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USDA Palantir Foundry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$300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платформа даних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CDC Palantir Foundry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$443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платформа даних</w:t>
            </w:r>
          </w:p>
        </w:tc>
      </w:tr>
    </w:tbl>
    <w:p/>
    <w:p/>
    <w:p>
      <w:pPr>
        <w:ind w:left="454"/>
      </w:pPr>
      <w:r>
        <w:rPr>
          <w:i/>
        </w:rPr>
        <w:t>Чесне читання якорів. Нижні точки ринку ($9 млн, $20 млн) нижчі за наш CAPEX $38,4 млн — але вони покривають лише одну функцію (EMS/SCADA), а не три продукти. Верхні точки ($77–443 млн) покривають ширший скоуп і вищі за нашу ціну. Жоден якір не дорівнює нашому скоупу один-в-один. Тому коректний спосіб подати вендора — діапазон, а не одна цифра (розділ 5). Ми навмисно прибрали самопризначений множник до нижньої планки: він давав ілюзію точності, не маючи джерела, і не потрібен для аргументу про володіння кодом.</w:t>
      </w:r>
    </w:p>
    <w:p/>
    <w:p/>
    <w:p>
      <w:pPr>
        <w:pStyle w:val="Heading2"/>
      </w:pPr>
      <w:r>
        <w:t>3. Компоненти TCO та допущення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Компонент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Наше рішення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Проприетарний вендор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Джерело / допущення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CAPEX впровадження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Модель B — $38,4 млн (фікс)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Діапазон $77–185 млн (розділ 5)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Факт (наше) / [ПРИПУЩЕННЯ-діапазон] (вендор)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Річна підтримка / SLA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15% CAPEX/рік (декомпозовано, розділ 3.2)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18–20% CAPEX/рік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[ПРИПУЩЕННЯ] — галузевий діапазон 15–20%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Інфраструктура (on-prem)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Власні потужності замовника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Власні + вендорські вимоги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[ПРИПУЩЕННЯ] — on-prem розгортання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Ліцензії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$0/рік — повне володіння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Щорічна підписка на ліцензії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Ключова відмінність: відсутність vendor lock-in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Навчання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Включено / разово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Разово + повторні цикли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[ПРИПУЩЕННЯ]</w:t>
            </w:r>
          </w:p>
        </w:tc>
      </w:tr>
    </w:tbl>
    <w:p/>
    <w:p/>
    <w:p>
      <w:r>
        <w:t>Ключове фінансове твердження. Наше рішення — це модель повного володіння: замовник отримує вихідний код і права на нього, річний платіж — лише за підтримку та SLA, без ліцензійної ренти. Проприетарний вендор стягує ліцензійну плату щороку незалежно від підтримки, і ця рента не зникає ніколи — вона і є економічна суть vendor lock-in.</w:t>
      </w:r>
    </w:p>
    <w:p/>
    <w:p>
      <w:pPr>
        <w:pStyle w:val="Heading3"/>
      </w:pPr>
      <w:r>
        <w:t>3.1. Фінансові допущення моделі (усі — [ПРИПУЩЕННЯ])</w:t>
      </w:r>
    </w:p>
    <w:p/>
    <w:p>
      <w:pPr>
        <w:pStyle w:val="ListBullet"/>
      </w:pPr>
      <w:r>
        <w:t>Підтримка/SLA, наше рішення: 15% від CAPEX/рік = $5,76 млн/рік. Це не ліцензійна рента, а реальна вартість команди підтримки, патчів і розвитку — повна декомпозиція в розділі 3.2, з опцією переходу на власну команду замовника після року 2.</w:t>
      </w:r>
    </w:p>
    <w:p>
      <w:pPr>
        <w:pStyle w:val="ListBullet"/>
      </w:pPr>
      <w:r>
        <w:t>Підтримка/SLA, вендор: 18% від CAPEX/рік (верхня частина діапазону, типова для проприетарних контрактів).</w:t>
      </w:r>
    </w:p>
    <w:p>
      <w:pPr>
        <w:pStyle w:val="ListBullet"/>
      </w:pPr>
      <w:r>
        <w:t>Ліцензії вендора: 12% від вендорського CAPEX/рік як окрема стаття підписки [ПРИПУЩЕННЯ] — консервативна оцінка; ринок практикує 15–22%.</w:t>
      </w:r>
    </w:p>
    <w:p>
      <w:pPr>
        <w:pStyle w:val="ListBullet"/>
      </w:pPr>
      <w:r>
        <w:t>CAPEX проприетарного вендора: діапазон $77–185 млн [ПРИПУЩЕННЯ-діапазон], а не одна цифра (обґрунтування — розділ 5).</w:t>
      </w:r>
    </w:p>
    <w:p>
      <w:pPr>
        <w:pStyle w:val="ListBullet"/>
      </w:pPr>
      <w:r>
        <w:t>Інфраструктура on-prem: $2,0 млн CAPEX (рік 1) + $0,4 млн/рік експлуатації для обох рішень [ПРИПУЩЕННЯ] — однакова для обох, тому на порівняння не впливає, але включена для повноти.</w:t>
      </w:r>
    </w:p>
    <w:p>
      <w:pPr>
        <w:pStyle w:val="ListBullet"/>
      </w:pPr>
      <w:r>
        <w:t>Навчання: наше — $0,8 млн (рік 1); вендор — $1,2 млн (рік 1) + $0,3 млн/рік повторні цикли [ПРИПУЩЕННЯ].</w:t>
      </w:r>
    </w:p>
    <w:p>
      <w:pPr>
        <w:pStyle w:val="ListBullet"/>
      </w:pPr>
      <w:r>
        <w:t>Графік впровадження: платформа MVP — 9 міс, повна — 18 міс (A1 6/14, A2 4/10, A3 3/8). Платежі — за віхами, не авансом (розділ 10). Повна функціональність — з року 2.</w:t>
      </w:r>
    </w:p>
    <w:p>
      <w:pPr>
        <w:pStyle w:val="ListBullet"/>
      </w:pPr>
      <w:r>
        <w:t>Ставка дисконтування: базова 15% річних (діапазон чутливості 12–18%) [ПРИПУЩЕННЯ] — орієнтир вартості капіталу для інфраструктурного проєкту в Україні з урахуванням ставок ЄБРР та інфляції (розділ 8).</w:t>
      </w:r>
    </w:p>
    <w:p/>
    <w:p>
      <w:pPr>
        <w:pStyle w:val="Heading3"/>
      </w:pPr>
      <w:r>
        <w:t>3.2. Декомпозиція річної підтримки $5,76 млн (відповідь на «за що 15%, якщо ми володіємо кодом»)</w:t>
      </w:r>
    </w:p>
    <w:p/>
    <w:p>
      <w:r>
        <w:t>Підтримка — це не прихована ліцензійна рента. Це вартість збереження працездатності, безпеки та розвитку системи національного рівня. Структура [ПРИПУЩЕННЯ, підлягає уточненню за SLA]: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Складова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Зміст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Оцінка $/рік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Команда супроводу (L2/L3)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8–10 FTE: інженери підтримки, DevOps, DBA, інженер з даних (24/7 чергування критичного контуру)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~$2,30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Безпекові патчі та комплаєнс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моніторинг вразливостей, патч-менеджмент, відповідність вимогам IT/Cybersecurity Catalogue of Measures, аудити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~$1,00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Інфраструктурні оновлення ПЗ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оновлення стеку, БД, бібліотек, апаратна сумісність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~$0,60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Розвиток і доопрацювання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нові функції, інтеграції, зміни регуляторики (REMIT/ENTSO-E), адаптація моделей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~$1,40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Резерв на інциденти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відновлення після збоїв, форс-мажор воєнного часу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~$0,46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Разом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$5,76 млн</w:t>
            </w:r>
          </w:p>
        </w:tc>
      </w:tr>
    </w:tbl>
    <w:p/>
    <w:p/>
    <w:p>
      <w:r>
        <w:t>Опція «власна команда замовника після року 2». Оскільки замовник володіє кодом, після передачі та року стабілізації підтримку може вести внутрішня ІТ-команда Укренерго. Орієнтовна вартість самостійного утримання [ПРИПУЩЕННЯ]: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Сценарій підтримки з року 3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Вартість $/рік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5-річний TCO нашого рішення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Зовнішня підтримка 15% (базовий)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$5,76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$65,84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Власна команда замовника (зарплати + інфра, без маржі підрядника)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~$3,2–3,8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$57–58 млн</w:t>
            </w:r>
          </w:p>
        </w:tc>
      </w:tr>
    </w:tbl>
    <w:p/>
    <w:p/>
    <w:p>
      <w:r>
        <w:t>Це і є практичний доказ незалежності: володіння кодом дозволяє знизити річне навантаження після передачі, чого проприетарна модель не дозволяє в принципі.</w:t>
      </w:r>
    </w:p>
    <w:p/>
    <w:p/>
    <w:p>
      <w:pPr>
        <w:pStyle w:val="Heading2"/>
      </w:pPr>
      <w:r>
        <w:t>4. TCO нашого рішення — розклад по роках (Модель B, повне володіння)</w:t>
      </w:r>
    </w:p>
    <w:p/>
    <w:p>
      <w:r>
        <w:t>Усі суми в млн $. Курс 42 грн/$ для гривневого підсумку (базовий сценарій).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  <w:sz w:val="20"/>
              </w:rPr>
              <w:t>Стаття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Рік 1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Рік 2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Рік 3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Рік 4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Рік 5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Разом 5 р.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CAPEX впровадження (за віхами)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38,40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38,40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Інфраструктура (on-prem)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2,00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0,40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0,40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0,40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0,40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3,60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Підтримка / SLA (15%)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5,76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5,76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5,76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5,76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23,04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Ліцензії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0,00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Навчання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0,80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0,80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TCO за рік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41,20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65,84</w:t>
            </w:r>
          </w:p>
        </w:tc>
      </w:tr>
    </w:tbl>
    <w:p/>
    <w:p/>
    <w:p>
      <w:r>
        <w:t>Підсумок 5-річного TCO (недисконтований): $65,84 млн ≈ 2,77 млрд грн (за курсом 42 грн/$).</w:t>
      </w:r>
    </w:p>
    <w:p/>
    <w:p>
      <w:pPr>
        <w:ind w:left="454"/>
      </w:pPr>
      <w:r>
        <w:rPr>
          <w:i/>
        </w:rPr>
        <w:t>Примітка про графік платежів: хоча для TCO-моделі CAPEX показаний у році 1, фактично він сплачується етапно за приймальними віхами (розділ 10), а не авансом. З року 2 річне навантаження падає до ~$6,16 млн — це передбачуваність моделі повного володіння.</w:t>
      </w:r>
    </w:p>
    <w:p/>
    <w:p/>
    <w:p>
      <w:pPr>
        <w:pStyle w:val="Heading2"/>
      </w:pPr>
      <w:r>
        <w:t>5. TCO проприетарного вендора — як ДІАПАЗОН (без вигаданої точки)</w:t>
      </w:r>
    </w:p>
    <w:p/>
    <w:p>
      <w:r>
        <w:t>Реальної комерційної пропозиції західного вендора на еквівалентний скоуп у нас немає. Тому ми не призначаємо одну цифру, а будуємо діапазон на основі ринкових якорів (розділ 2.3):</w:t>
      </w:r>
    </w:p>
    <w:p/>
    <w:p>
      <w:pPr>
        <w:pStyle w:val="ListBullet"/>
      </w:pPr>
      <w:r>
        <w:t>Нижня межа діапазону CAPEX — $77 млн = якір Nasdaq SMARTS, який покриває лише нагляд за ринком (скоуп A2). Прийняти його за вартість усіх трьох продуктів — свідомо консервативно на користь вендора (занижує його ціну).</w:t>
      </w:r>
    </w:p>
    <w:p>
      <w:pPr>
        <w:pStyle w:val="ListBullet"/>
      </w:pPr>
      <w:r>
        <w:t>Верхня межа CAPEX — $185 млн = проміжне між якорем нагляду ($77 млн) і нижнім Foundry-впровадженням ($300 млн), як оцінка ширшого скоупу «двійник + нагляд + втрати».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Параметр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Нижній сценарій вендора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Верхній сценарій вендора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CAPEX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$77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$185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Підтримка 18%/рік × 4 роки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$55,4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$133,2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Ліцензії 12%/рік × 5 років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$46,2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$111,0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Інфраструктура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$3,6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$3,6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Навчання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$2,4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$2,4 млн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TCO 5 років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$77 млн (CAPEX) + $107,6 = $184,6 млн → округлено $77–185 діапазон CAPEX дає TCO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Сукупний TCO вендора (діапазон)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$77 млн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$214 млн</w:t>
            </w:r>
          </w:p>
        </w:tc>
      </w:tr>
    </w:tbl>
    <w:p/>
    <w:p/>
    <w:p>
      <w:pPr>
        <w:ind w:left="454"/>
      </w:pPr>
      <w:r>
        <w:rPr>
          <w:i/>
        </w:rPr>
        <w:t>Уточнення меж TCO: за нижнім CAPEX $77 млн повний 5-річний TCO вендора ≈ $184 млн; якщо ж вендор пропонує лише вузький скоуп нагляду за $77 млн без двох інших продуктів — це взагалі не еквівалент, і пряме порівняння некоректне. За верхнім CAPEX $185 млн TCO ≈ $214 млн. Підсумковий діапазон TCO вендора на еквівалентний скоуп: ≈ $184–214 млн. Нижче $184 млн — це вже не еквівалентний скоуп.</w:t>
      </w:r>
    </w:p>
    <w:p/>
    <w:p>
      <w:r>
        <w:t>Чесний висновок розділу. Ми не стверджуємо «−$148,96 млн економії» — ця цифра трималася на недоведеному $90 млн і знята. Ми стверджуємо те, що захищається: ліцензійна рента вендора $46–111 млн за 5 років у нашій моделі дорівнює нулю, і саме ця стаття — чиста, незаперечна перевага володіння кодом, незалежно від того, де всередині діапазону опиниться реальна ціна вендора.</w:t>
      </w:r>
    </w:p>
    <w:p/>
    <w:p/>
    <w:p>
      <w:pPr>
        <w:pStyle w:val="Heading2"/>
      </w:pPr>
      <w:r>
        <w:t>6. Вартість бездіяльності (статус-кво) — на НЕЗАЛЕЖНО задокументованих втратах</w:t>
      </w:r>
    </w:p>
    <w:p/>
    <w:p>
      <w:pPr>
        <w:ind w:left="454"/>
      </w:pPr>
      <w:r>
        <w:rPr>
          <w:i/>
        </w:rPr>
        <w:t>Важлива методологічна правка. У попередній редакції «вартість бездіяльності» дорівнювала сумі заявленого ефекту продуктів (924 млн грн/рік). Це був подвійний рахунок: той самий прогноз вигоди ставився у графу втрат. Тут ми розводимо ці поняття. Вигоди продуктів використані лише в NPV (розділ 8). Вартість бездіяльності нижче побудована виключно на незалежно задокументованих фактичних та регуляторних втратах, а не на власному прогнозі ефекту.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Складова вартості бездіяльності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База (джерело)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5-річна оцінка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Очікувані втрати від кіберінцидентів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інцидент 22.03.2024 = 90–100 млн EUR; [ПРИПУЩЕННЯ] ймовірність повторення подієвого збитку рівня 30–50 млн EUR на горизонті 5 років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~30–50 млн EUR (~$32–54 млн)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Ризик санкцій / невиконання REMIT та Catalogue of Measures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регуляторний ризик невідповідності; [ПРИПУЩЕННЯ] — не капіталізовано в грошах, фіксується як нефінансовий ризик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якісний, не в сумі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Заморожена ємність ENTSO-E +500 МВт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недоотриманий експортний дохід через відсутність інструментів управління; [ПРИПУЩЕННЯ, потребує підтвердження тарифом]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окремо, в NPV</w:t>
            </w:r>
          </w:p>
        </w:tc>
      </w:tr>
    </w:tbl>
    <w:p/>
    <w:p/>
    <w:p>
      <w:r>
        <w:t>Висновок. Статус-кво несе як мінімум $32–54 млн очікуваних збитків від кіберризику за 5 років плюс некапіталізований регуляторний ризик невідповідності. Ми навмисно не ставимо сюди 924 млн грн/рік ефекту продуктів, щоб уникнути подвійного рахунку — ефект продуктів працює лише на боці вигод у NPV.</w:t>
      </w:r>
    </w:p>
    <w:p/>
    <w:p/>
    <w:p>
      <w:pPr>
        <w:pStyle w:val="Heading2"/>
      </w:pPr>
      <w:r>
        <w:t>7. Зведене порівняння TCO трьох сценаріїв (витратна частина)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Показник (5 років)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Наше рішення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Проприетарний вендор (діапазон)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Статус-кво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CAPEX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$38,40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$77–185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$0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Підтримка/SLA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$23,04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$55–133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Ліцензії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$0,00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$46–111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Інфраструктура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$3,60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$3,60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Навчання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$0,80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$2,40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Сукупний TCO витрат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$65,84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$184–214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$0 прямих витрат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Вартість бездіяльності (незалежні втрати)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≥ $32–54 млн кіберризик + регуляторний ризик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У гривнях (×42)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2,77 млрд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7,7–9,0 млрд грн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—</w:t>
            </w:r>
          </w:p>
        </w:tc>
      </w:tr>
    </w:tbl>
    <w:p/>
    <w:p/>
    <w:p>
      <w:pPr>
        <w:pStyle w:val="Heading3"/>
      </w:pPr>
      <w:r>
        <w:t>Висновки для CFO (витратна частина)</w:t>
      </w:r>
    </w:p>
    <w:p/>
    <w:p>
      <w:pPr>
        <w:pStyle w:val="ListBullet"/>
      </w:pPr>
      <w:r>
        <w:t>Чиста, захищувана перевага — ліцензії: $46–111 млн ренти вендора за 5 років у нас = $0. Це наслідок володіння кодом, а не припущення про чужу ціну.</w:t>
      </w:r>
    </w:p>
    <w:p>
      <w:pPr>
        <w:pStyle w:val="ListBullet"/>
      </w:pPr>
      <w:r>
        <w:t>Передбачуваність бюджету: з року 2 наше річне навантаження стабільне — $6,16 млн/рік (і може впасти до ~$3,2–3,8 млн при власній команді з року 3).</w:t>
      </w:r>
    </w:p>
    <w:p>
      <w:pPr>
        <w:pStyle w:val="ListBullet"/>
      </w:pPr>
      <w:r>
        <w:t>Проти статус-кво: наш TCO витрат ($65,84 млн) зіставляється з вигодами та незалежними втратами у повноцінній NPV-моделі нижче — саме вона, а не сума витрат, є фінансовим обґрунтуванням.</w:t>
      </w:r>
    </w:p>
    <w:p/>
    <w:p/>
    <w:p>
      <w:pPr>
        <w:pStyle w:val="Heading2"/>
      </w:pPr>
      <w:r>
        <w:t>8. Дисконтований грошовий потік, NPV, payback, IRR (фінансове обґрунтування)</w:t>
      </w:r>
    </w:p>
    <w:p/>
    <w:p>
      <w:r>
        <w:t>Це центральний розділ для CFO: чистий ефект = вигоди мінус TCO, дисконтований за реалістичною ставкою.</w:t>
      </w:r>
    </w:p>
    <w:p/>
    <w:p>
      <w:r>
        <w:t>Вхідні дані:</w:t>
      </w:r>
    </w:p>
    <w:p>
      <w:pPr>
        <w:pStyle w:val="ListBullet"/>
      </w:pPr>
      <w:r>
        <w:t>Витрати — TCO нашого рішення по роках (розділ 4).</w:t>
      </w:r>
    </w:p>
    <w:p>
      <w:pPr>
        <w:pStyle w:val="ListBullet"/>
      </w:pPr>
      <w:r>
        <w:t>Вигоди — сукупний річний ефект трьох продуктів 924 млн грн/рік ≈ $22,0 млн/рік (джерело — «Обґрунтування ROI», методика в Annex; [ПРИПУЩЕННЯ] про повну реалізацію). Консервативно: ефект починається лише з року 2 (повна функціональність), а в році 2 береться 50% (фаза виходу на потужність).</w:t>
      </w:r>
    </w:p>
    <w:p>
      <w:pPr>
        <w:pStyle w:val="ListBullet"/>
      </w:pPr>
      <w:r>
        <w:t>Ставка дисконтування — базова 15% (чутливість 12–18%).</w:t>
      </w:r>
    </w:p>
    <w:p/>
    <w:p>
      <w:r>
        <w:t>Грошовий потік (млн $), базовий сценарій: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  <w:sz w:val="20"/>
              </w:rPr>
              <w:t>Рік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Вигоди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TCO-витрати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Чистий потік (CF)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Дисконт-фактор @15%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Дисконтований CF</w:t>
            </w:r>
          </w:p>
        </w:tc>
        <w:tc>
          <w:tcPr>
            <w:tcW w:type="dxa" w:w="1234"/>
          </w:tcPr>
          <w:p>
            <w:r>
              <w:rPr>
                <w:b/>
                <w:sz w:val="20"/>
              </w:rPr>
              <w:t>Накопичений диск. CF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41,20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−41,20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0,870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−35,84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−35,84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11,0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+4,84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0,756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+3,66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−32,18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22,0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+15,84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0,658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+10,42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−21,76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22,0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+15,84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0,572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+9,06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−12,70</w:t>
            </w:r>
          </w:p>
        </w:tc>
      </w:tr>
      <w:tr>
        <w:tc>
          <w:tcPr>
            <w:tcW w:type="dxa" w:w="1234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22,0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6,16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+15,84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0,497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+7,87</w:t>
            </w:r>
          </w:p>
        </w:tc>
        <w:tc>
          <w:tcPr>
            <w:tcW w:type="dxa" w:w="1234"/>
          </w:tcPr>
          <w:p>
            <w:r>
              <w:rPr>
                <w:sz w:val="20"/>
              </w:rPr>
              <w:t>−4,83</w:t>
            </w:r>
          </w:p>
        </w:tc>
      </w:tr>
    </w:tbl>
    <w:p/>
    <w:p/>
    <w:p>
      <w:pPr>
        <w:ind w:left="454"/>
      </w:pPr>
      <w:r>
        <w:rPr>
          <w:i/>
        </w:rPr>
        <w:t>Важливе застереження про область застосування NPV. Усі показники NPV/payback/IRR у цьому розділі розраховані для Моделі B (опціональна платформа-шина з усіма трьома продуктами разом) — тобто для максимального скоупу. Це не NPV окремого продукту. Кожен із трьох продуктів є самостійним проєктом зі своїм бюджетом і своєю окупністю: зокрема Продукт №1 окремо має позитивний NPV вже на горизонті з ROI ~1,9 року (за власним per-product ефектом 600 млн грн/рік проти CAPEX $26,9 млн / MVP $10,8 млн). Таким чином близькість до точки беззбитковості на 5-річному вікні нижче стосується саме повної Моделі B, а не пріоритетного Продукту №1, який окупається швидше і самостійно.</w:t>
      </w:r>
    </w:p>
    <w:p/>
    <w:p>
      <w:r>
        <w:t>Результати базового сценарію Моделі B (горизонт 5 років):</w:t>
      </w:r>
    </w:p>
    <w:p>
      <w:pPr>
        <w:pStyle w:val="ListBullet"/>
      </w:pPr>
      <w:r>
        <w:t>NPV @15% ≈ −$4,8 млн на кінець року 5 — проєкт ще не вийшов у дисконтований плюс рівно на 5-річному горизонті при старті ефекту лише з року 2.</w:t>
      </w:r>
    </w:p>
    <w:p>
      <w:pPr>
        <w:pStyle w:val="ListBullet"/>
      </w:pPr>
      <w:r>
        <w:t>Простий (недисконтований) payback ≈ 4,8 року від старту; дисконтований payback ≈ рік 6 (накопичений диск. CF перетинає нуль на початку року 6: +$15,84 × 0,432 ≈ +$6,8 млн &gt; $4,83 млн дефіциту).</w:t>
      </w:r>
    </w:p>
    <w:p>
      <w:pPr>
        <w:pStyle w:val="ListBullet"/>
      </w:pPr>
      <w:r>
        <w:t>IRR ≈ 12–13% на 5-річному вікні; на 7-річному вікні (з повним ефектом років 6–7) IRR зростає до ≈ 22–25%, оскільки CAPEX разовий, а ефект триває.</w:t>
      </w:r>
    </w:p>
    <w:p/>
    <w:p>
      <w:pPr>
        <w:ind w:left="454"/>
      </w:pPr>
      <w:r>
        <w:rPr>
          <w:i/>
        </w:rPr>
        <w:t>Чесний висновок NPV. На жорсткому 5-річному вікні з консервативним стартом ефекту лише з року 2 проєкт близький до точки беззбитковості (NPV трохи від'ємний при 15%). Це наслідок того, що рік 1 несе майже весь CAPEX, а ефект ще не йде. Економічна цінність проєкту проявляється на горизонті 6–7 років, де NPV стає суттєво додатнім, а IRR (22–25%) перевищує вартість капіталу. Для інфраструктури національного рівня з терміном служби 10+ років це нормальний і прийнятний профіль. Якщо ефект починається раніше (MVP-функції з року 1) або реалізується вище нижньої оцінки — payback скорочується.</w:t>
      </w:r>
    </w:p>
    <w:p/>
    <w:p>
      <w:r>
        <w:t>Чутливість NPV до ставки та старту ефекту (5-річне вікно):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Сценарій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NPV @12%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NPV @15%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NPV @18%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Ефект з року 2 (базовий)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+$0,5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−$4,8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−$9,3 млн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Ефект частково з року 1 (MVP)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+$12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+$5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−$1 млн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Власна підтримка з року 3 (нижчий TCO)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+$8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+$2 млн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≈ −$3 млн</w:t>
            </w:r>
          </w:p>
        </w:tc>
      </w:tr>
    </w:tbl>
    <w:p/>
    <w:p/>
    <w:p>
      <w:pPr>
        <w:ind w:left="454"/>
      </w:pPr>
      <w:r>
        <w:rPr>
          <w:i/>
        </w:rPr>
        <w:t>Висновок: рішення фінансово обґрунтоване, але обґрунтування коректно тримається на (а) горизонті 6–7+ років, (б) ранньому старті MVP-ефекту, (в) переході на власну підтримку. Воно не тримається на вигаданій економії проти вендора.</w:t>
      </w:r>
    </w:p>
    <w:p/>
    <w:p/>
    <w:p>
      <w:pPr>
        <w:pStyle w:val="Heading2"/>
      </w:pPr>
      <w:r>
        <w:t>9. Валютна чутливість (асиметричний ризик)</w:t>
      </w:r>
    </w:p>
    <w:p/>
    <w:p>
      <w:r>
        <w:t>CAPEX і підтримка номіновані в доларах, ефект — у гривні. Тому девальвація б'є саме по витратному боці. Фіксація курсу 42 грн/$ на 5 років для воюючої країни нереалістична; реалістичний 5-річний сценарій девальвації — 48–55 грн/$.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Курс грн/$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Гривневий TCO нашого рішення (5 р.)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Коментар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42 (базовий)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2,77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для моделювання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45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2,96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помірний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50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3,29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стрес-сценарій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55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≈ 3,62 млрд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важкий стрес</w:t>
            </w:r>
          </w:p>
        </w:tc>
      </w:tr>
    </w:tbl>
    <w:p/>
    <w:p/>
    <w:p>
      <w:r>
        <w:t>У якій валюті фіксується контракт — критичне рішення:</w:t>
      </w:r>
    </w:p>
    <w:p>
      <w:pPr>
        <w:pStyle w:val="ListBullet"/>
      </w:pPr>
      <w:r>
        <w:t>Якщо контракт у гривні — валютний ризик несе виконавець, гривневий TCO замовника фіксований; це найвигідніше замовнику, але підвищить гривневу ціну на премію за ризик.</w:t>
      </w:r>
    </w:p>
    <w:p>
      <w:pPr>
        <w:pStyle w:val="ListBullet"/>
      </w:pPr>
      <w:r>
        <w:t>Якщо контракт у доларі — ризик несе замовник; за стрес-сценарієм 55 грн/$ гривневий TCO зростає на ~31% (до ≈ 3,62 млрд грн). Цей сценарій має бути закладений у бюджет як резерв.</w:t>
      </w:r>
    </w:p>
    <w:p/>
    <w:p>
      <w:pPr>
        <w:ind w:left="454"/>
      </w:pPr>
      <w:r>
        <w:rPr>
          <w:i/>
        </w:rPr>
        <w:t>Рекомендація: зафіксувати CAPEX-частину у гривні за віхами (ризик на виконавцеві), а підтримку — з валютним застереженням і стелею індексації.</w:t>
      </w:r>
    </w:p>
    <w:p/>
    <w:p/>
    <w:p>
      <w:pPr>
        <w:pStyle w:val="Heading2"/>
      </w:pPr>
      <w:r>
        <w:t>10. Графік платежів, утримання та ризик єдиного виконавця</w:t>
      </w:r>
    </w:p>
    <w:p/>
    <w:p>
      <w:r>
        <w:t>Це зауваження Правління №1: аванс держкоштів за продукт, який працюватиме лише з року 2. Адресуємо прямо.</w:t>
      </w:r>
    </w:p>
    <w:p/>
    <w:p>
      <w:r>
        <w:t>Структура платежів — за віхами (milestone-based), не авансом: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Віха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Критерій приймання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Частка CAPEX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М0 — старт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підписання, передача 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10%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М1 — MVP-контур (9 міс)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приймальні тести MVP A1/A2/A3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25%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М2 — інтеграція платформи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наскрізний сценарій A1→A2→A3 на даних замовника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25%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М3 — повна функціональність (18 міс)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приймальні випробування повного скоупу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25%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М4 — фінальне приймання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стабілізація, передача коду та документації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15% (утримання / retention)</w:t>
            </w:r>
          </w:p>
        </w:tc>
      </w:tr>
    </w:tbl>
    <w:p/>
    <w:p/>
    <w:p>
      <w:r>
        <w:t>Фінансові запобіжники:</w:t>
      </w:r>
    </w:p>
    <w:p>
      <w:pPr>
        <w:pStyle w:val="ListBullet"/>
      </w:pPr>
      <w:r>
        <w:t>Retention 10–15% утримується до фінального приймання (рядок М4).</w:t>
      </w:r>
    </w:p>
    <w:p>
      <w:pPr>
        <w:pStyle w:val="ListBullet"/>
      </w:pPr>
      <w:r>
        <w:t>Банківська гарантія / ескроу на авансові транші.</w:t>
      </w:r>
    </w:p>
    <w:p>
      <w:pPr>
        <w:pStyle w:val="ListBullet"/>
      </w:pPr>
      <w:r>
        <w:t>Штрафи за зрив строків (penalty за кожну прострочену віху).</w:t>
      </w:r>
    </w:p>
    <w:p/>
    <w:p>
      <w:r>
        <w:t>Ризик єдиного виконавця (bus-factor) — адресація:</w:t>
      </w:r>
    </w:p>
    <w:p>
      <w:pPr>
        <w:pStyle w:val="ListBullet"/>
      </w:pPr>
      <w:r>
        <w:t>Escrow вихідного коду з періодичним депонуванням: замовник отримує код навіть за припинення діяльності виконавця.</w:t>
      </w:r>
    </w:p>
    <w:p>
      <w:pPr>
        <w:pStyle w:val="ListBullet"/>
      </w:pPr>
      <w:r>
        <w:t>План передачі та bus-factor: документація, навчання внутрішньої команди (розділ 3.2), можливість підхоплення підтримки власними силами з року 3.</w:t>
      </w:r>
    </w:p>
    <w:p>
      <w:pPr>
        <w:pStyle w:val="ListBullet"/>
      </w:pPr>
      <w:r>
        <w:t>Поетапність сама по собі обмежує ризик: за зривом будь-якої віхи замовник зупиняє фінансування, втративши лише сплачену частку, а не весь CAPEX.</w:t>
      </w:r>
    </w:p>
    <w:p/>
    <w:p/>
    <w:p>
      <w:pPr>
        <w:pStyle w:val="Heading2"/>
      </w:pPr>
      <w:r>
        <w:t>11. Перелік припущень та Annex походження цифр</w:t>
      </w:r>
    </w:p>
    <w:p/>
    <w:p>
      <w:pPr>
        <w:pStyle w:val="Heading3"/>
      </w:pPr>
      <w:r>
        <w:t>11.1. Зведення припущень</w:t>
      </w:r>
    </w:p>
    <w:p/>
    <w:p>
      <w:pPr>
        <w:pStyle w:val="ListNumber"/>
      </w:pPr>
      <w:r>
        <w:t>Базовий курс 42 грн/$; валютна чутливість розширена до 50–55 грн/$ (розділ 9).</w:t>
      </w:r>
    </w:p>
    <w:p>
      <w:pPr>
        <w:pStyle w:val="ListNumber"/>
      </w:pPr>
      <w:r>
        <w:t>Підтримка/SLA нашого рішення — 15% CAPEX/рік, декомпозовано (розділ 3.2); опція власної команди з року 3.</w:t>
      </w:r>
    </w:p>
    <w:p>
      <w:pPr>
        <w:pStyle w:val="ListNumber"/>
      </w:pPr>
      <w:r>
        <w:t>Вендор поданий діапазоном $184–214 млн TCO, без вигаданої точки $90 млн; самопризначений множник ×3,732 прибрано.</w:t>
      </w:r>
    </w:p>
    <w:p>
      <w:pPr>
        <w:pStyle w:val="ListNumber"/>
      </w:pPr>
      <w:r>
        <w:t>Ліцензії вендора — 12% CAPEX/рік; підтримка вендора — 18%/рік.</w:t>
      </w:r>
    </w:p>
    <w:p>
      <w:pPr>
        <w:pStyle w:val="ListNumber"/>
      </w:pPr>
      <w:r>
        <w:t>Інфраструктура on-prem однакова для обох — не впливає на порівняння.</w:t>
      </w:r>
    </w:p>
    <w:p>
      <w:pPr>
        <w:pStyle w:val="ListNumber"/>
      </w:pPr>
      <w:r>
        <w:t>Статус-кво побудовано на незалежних втратах (кіберризик, регуляторний ризик), не на ефекті продуктів — подвійний рахунок усунено.</w:t>
      </w:r>
    </w:p>
    <w:p>
      <w:pPr>
        <w:pStyle w:val="ListNumber"/>
      </w:pPr>
      <w:r>
        <w:t>NPV рахується за ставкою 15% (чутливість 12–18%); ефект продуктів стартує з року 2 (50% у році 2).</w:t>
      </w:r>
    </w:p>
    <w:p>
      <w:pPr>
        <w:pStyle w:val="ListNumber"/>
      </w:pPr>
      <w:r>
        <w:t>Платежі — за віхами; повна функціональність — з року 2.</w:t>
      </w:r>
    </w:p>
    <w:p/>
    <w:p>
      <w:pPr>
        <w:pStyle w:val="Heading3"/>
      </w:pPr>
      <w:r>
        <w:t>11.2. Annex A — походження кожної базової цифри (щоб TCO захищався окремо від пакета)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Базова цифра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Метод оцінки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Джерело / документ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CAPEX продуктів A1/A2/A3 ($26,9 / $15,1 / $9,1 млн)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знизу-вгору, людино-години × ставки × коефіцієнти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Кошторис; Обґрунтування вартості (70 джерел)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Платформна знижка −25% ($51,1 → $38,4 млн)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синергія спільного ядра/даних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Технічна концепція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Річний ефект 600 / 134 / 190 млн грн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методика ROI кожного продукту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Обґрунтування ROI (окремий документ)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Ринкові якорі ($9–443 млн)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публічні контракти/тендери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відкриті джерела (див. Обґрунтування вартості)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Кіберзбиток 90–100 млн EUR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фактичний інцидент 22.03.2024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публічні оцінки / KSE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Ставка дисконтування 15%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вартість капіталу інфрапроєкту в Україні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орієнтир ЄБРР/інфляція [ПРИПУЩЕННЯ]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Підтримка 15% (декомпозиція)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штатний розпис команди супроводу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розділ 3.2 [ПРИПУЩЕННЯ]</w:t>
            </w:r>
          </w:p>
        </w:tc>
      </w:tr>
    </w:tbl>
    <w:p/>
    <w:p/>
    <w:p>
      <w:pPr>
        <w:ind w:left="454"/>
      </w:pPr>
      <w:r>
        <w:rPr>
          <w:i/>
        </w:rPr>
        <w:t>Цей Annex дозволяє читачеві простежити кожну вхідну цифру до її джерела й оцінити TCO самостійно, навіть поза повним пакетом пропозиції.</w:t>
      </w:r>
    </w:p>
    <w:p/>
    <w:p/>
    <w:p>
      <w:pPr>
        <w:pStyle w:val="Heading2"/>
      </w:pPr>
      <w:r>
        <w:t>12. Додатки (інші документи пакета)</w:t>
      </w:r>
    </w:p>
    <w:p/>
    <w:p>
      <w:pPr>
        <w:pStyle w:val="ListBullet"/>
      </w:pPr>
      <w:r>
        <w:t>Супровідний лист; Executive Summary; Огляд рішення</w:t>
      </w:r>
    </w:p>
    <w:p>
      <w:pPr>
        <w:pStyle w:val="ListBullet"/>
      </w:pPr>
      <w:r>
        <w:t>Комерційна пропозиція; Обґрунтування ROI; Документ безпеки; Досвід виконавця</w:t>
      </w:r>
    </w:p>
    <w:p>
      <w:pPr>
        <w:pStyle w:val="ListBullet"/>
      </w:pPr>
      <w:r>
        <w:t>4 технічні завдання (ISO/IEC/IEEE 29148)</w:t>
      </w:r>
    </w:p>
    <w:p>
      <w:pPr>
        <w:pStyle w:val="ListBullet"/>
      </w:pPr>
      <w:r>
        <w:t>Кошторис; Обґрунтування вартості (70 джерел); Запит даних; Технічна концепція</w:t>
      </w:r>
    </w:p>
    <w:p/>
    <w:p>
      <w:r>
        <w:t>PROOF: Працююче демо — https://ukrenergo.radai-1984.dev (три самостійні продукти; наскрізний сценарій A1→Шина→A2→A3 та агентний контур 24/7 — демонстрація опціональної Моделі B / горизонту, не базової поставки).</w:t>
      </w:r>
    </w:p>
    <w:p/>
    <w:p>
      <w:pPr>
        <w:pStyle w:val="Heading2"/>
      </w:pPr>
      <w:r>
        <w:t>Права власності (чому TCO без ліцензійної ренти)</w:t>
      </w:r>
    </w:p>
    <w:p/>
    <w:p>
      <w:r>
        <w:t>Економіка TCO нижча за пропрієтарного вендора саме тому, що Замовник отримує повну власність, а не ліцензію:</w:t>
      </w:r>
    </w:p>
    <w:p/>
    <w:p>
      <w:pPr>
        <w:pStyle w:val="ListBullet"/>
      </w:pPr>
      <w:r>
        <w:t>Передача вихідного коду у власність. Повний вихідний код кожного продукту передається Замовнику без ліцензійної залежності та без права відкликання — Замовник експлуатує і модифікує систему самостійно, без технологічної залежності від Розробника. Звідси відсутність щорічної ліцензійної ренти у TCO.</w:t>
      </w:r>
    </w:p>
    <w:p>
      <w:pPr>
        <w:pStyle w:val="ListBullet"/>
      </w:pPr>
      <w:r>
        <w:t>Авторські права Розробника. Методологія, алгоритми та ноу-хау залишаються за Розробником і використовуються ним у майбутніх продуктах; це не обмежує право Замовника володіти та користуватися переданою системою.</w:t>
      </w:r>
    </w:p>
    <w:p>
      <w:pPr>
        <w:pStyle w:val="ListBullet"/>
      </w:pPr>
      <w:r>
        <w:t>Без обов'язкового сопровождення. Розробник не несе обов'язків на постійну техпідтримку після передачі; супровід — окрема опція за бажанням Замовника, а не вшита в TCO рента.</w:t>
      </w:r>
    </w:p>
    <w:p/>
    <w:p/>
    <w:p>
      <w:r>
        <w:t>*Підготовлено для ПрАТ «НЕК «УКРЕНЕРГО». Усі фінансові показники, позначені [ПРИПУЩЕННЯ], підлягають уточненню за результатами фази обстеження та запиту даних. Перевага рішення обґрунтована володінням вихідним кодом і відсутністю ліцензійної ренти, а не припущеннями про ціну третіх сторін.*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