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sz w:val="22"/>
        </w:rPr>
        <w:t>Гриф обмеження доступу: «ЦІЛКОМ ТАЄМНО»</w:t>
        <w:br/>
        <w:t>Прим. № ____   (проєкт — до затвердження КСЗІ)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sz w:val="22"/>
              </w:rPr>
              <w:t>ПОГОДЖЕНО</w:t>
              <w:br/>
              <w:t>Генеральний директор ВИКОНАВЦЯ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  <w:tc>
          <w:tcPr>
            <w:tcW w:type="dxa" w:w="4320"/>
          </w:tcPr>
          <w:p>
            <w:r>
              <w:rPr>
                <w:sz w:val="22"/>
              </w:rPr>
              <w:t>ЗАТВЕРДЖУЮ</w:t>
              <w:br/>
              <w:t>Генеральний директор</w:t>
              <w:br/>
              <w:t>НЕК «УКРЕНЕРГО»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</w:tr>
    </w:tbl>
    <w:p/>
    <w:p/>
    <w:p/>
    <w:p>
      <w:pPr>
        <w:jc w:val="center"/>
      </w:pPr>
      <w:r>
        <w:rPr>
          <w:b/>
          <w:sz w:val="28"/>
        </w:rPr>
        <w:t>АВТОМАТИЗОВАНА СИСТЕМА</w:t>
      </w:r>
    </w:p>
    <w:p>
      <w:pPr>
        <w:jc w:val="center"/>
      </w:pPr>
      <w:r>
        <w:rPr>
          <w:b/>
          <w:sz w:val="32"/>
        </w:rPr>
        <w:t>«Комплект із трьох самостійних продуктів для ОЕС України»</w:t>
      </w:r>
    </w:p>
    <w:p>
      <w:pPr>
        <w:jc w:val="center"/>
      </w:pPr>
      <w:r>
        <w:rPr>
          <w:b w:val="0"/>
          <w:sz w:val="24"/>
        </w:rPr>
        <w:t>(3П ОЕС)</w:t>
      </w:r>
    </w:p>
    <w:p>
      <w:pPr>
        <w:jc w:val="center"/>
      </w:pPr>
      <w:r>
        <w:rPr>
          <w:b w:val="0"/>
          <w:sz w:val="24"/>
        </w:rPr>
      </w:r>
    </w:p>
    <w:p>
      <w:pPr>
        <w:jc w:val="center"/>
      </w:pPr>
      <w:r>
        <w:rPr>
          <w:b/>
          <w:sz w:val="30"/>
        </w:rPr>
        <w:t>БЕЗПЕКА ТА ВІДПОВІДНІСТЬ</w:t>
        <w:br/>
        <w:t>(Security &amp; Compliance)</w:t>
      </w:r>
    </w:p>
    <w:p/>
    <w:p/>
    <w:p>
      <w:pPr>
        <w:jc w:val="center"/>
      </w:pPr>
      <w:r>
        <w:rPr>
          <w:sz w:val="22"/>
        </w:rPr>
        <w:t>Позначення документа: UE-3PROD.SEC</w:t>
      </w:r>
    </w:p>
    <w:p>
      <w:pPr>
        <w:jc w:val="center"/>
      </w:pPr>
      <w:r>
        <w:rPr>
          <w:sz w:val="22"/>
        </w:rPr>
        <w:t>Кількість аркушів: ____</w:t>
      </w:r>
    </w:p>
    <w:p>
      <w:pPr>
        <w:jc w:val="center"/>
      </w:pPr>
      <w:r>
        <w:rPr>
          <w:sz w:val="22"/>
        </w:rPr>
        <w:t>Редакція: 1.0</w:t>
      </w:r>
    </w:p>
    <w:p/>
    <w:p/>
    <w:p>
      <w:pPr>
        <w:ind w:firstLine="0"/>
        <w:jc w:val="center"/>
      </w:pPr>
      <w:r>
        <w:rPr>
          <w:b/>
          <w:sz w:val="22"/>
        </w:rPr>
        <w:t>ПРИВАТНЕ АКЦІОНЕРНЕ ТОВАРИСТВО «НАЦІОНАЛЬНА ЕНЕРГЕТИЧНА КОМПАНІЯ «УКРЕНЕРГО»</w:t>
      </w:r>
    </w:p>
    <w:p>
      <w:pPr>
        <w:ind w:firstLine="0"/>
        <w:jc w:val="center"/>
      </w:pPr>
      <w:r>
        <w:rPr>
          <w:i/>
          <w:sz w:val="20"/>
        </w:rPr>
        <w:t>Замовник: ПрАТ «НЕК «УКРЕНЕРГО» · код ЄДРПОУ 00100227 · 01032, м. Київ, вул. Симона Петлюри, 25</w:t>
      </w:r>
    </w:p>
    <w:p/>
    <w:p/>
    <w:p>
      <w:pPr>
        <w:ind w:firstLine="0"/>
        <w:jc w:val="center"/>
      </w:pPr>
      <w:r>
        <w:rPr>
          <w:sz w:val="24"/>
        </w:rPr>
        <w:t>Київ</w:t>
      </w:r>
    </w:p>
    <w:p>
      <w:pPr>
        <w:ind w:firstLine="0"/>
        <w:jc w:val="center"/>
      </w:pPr>
      <w:r>
        <w:rPr>
          <w:sz w:val="24"/>
        </w:rPr>
        <w:t>2026</w:t>
      </w:r>
    </w:p>
    <w:p>
      <w:r>
        <w:br w:type="page"/>
      </w:r>
    </w:p>
    <w:p>
      <w:r>
        <w:t>Доопрацьовую документ за зауваженнями. Повертаю повний виправлений текст.</w:t>
      </w:r>
    </w:p>
    <w:p/>
    <w:p/>
    <w:p>
      <w:pPr>
        <w:pStyle w:val="Heading1"/>
      </w:pPr>
      <w:r>
        <w:t>Декларація безпеки та відповідності</w:t>
      </w:r>
    </w:p>
    <w:p>
      <w:pPr>
        <w:pStyle w:val="Heading2"/>
      </w:pPr>
      <w:r>
        <w:t>Захист даних замовника, суверенне розгортання та комплаєнс критичної інфраструктури</w:t>
      </w:r>
    </w:p>
    <w:p/>
    <w:p>
      <w:r>
        <w:t>Замовник: ПрАТ «НЕК «УКРЕНЕРГО», ЄДРПОУ 00100227, 01032, м. Київ, вул. Симона Петлюри, 25</w:t>
      </w:r>
    </w:p>
    <w:p>
      <w:r>
        <w:t>Адресат документа: CISO / Адміністрація Держспецзв'язку / Служба безпеки замовника</w:t>
      </w:r>
    </w:p>
    <w:p>
      <w:r>
        <w:t>Предмет: Три самостійні продукти: A1 — Система управління ризиками безпеки та прогнозування загроз; A2 — Система виявлення зловживань на енергоринку; A3 — Прогноз технологічних втрат передачі. Опціонально: інтеграційна платформа/шина (горизонт розвитку).</w:t>
      </w:r>
    </w:p>
    <w:p>
      <w:r>
        <w:t>Демонстраційний контур (proof): https://ukrenergo.radai-1984.dev</w:t>
      </w:r>
    </w:p>
    <w:p/>
    <w:p/>
    <w:p>
      <w:pPr>
        <w:pStyle w:val="Heading2"/>
      </w:pPr>
      <w:r>
        <w:t>1. Призначення документа та принцип go/no-go</w:t>
      </w:r>
    </w:p>
    <w:p/>
    <w:p>
      <w:r>
        <w:t>Для оператора системи передачі (ОСП) критичної енергетичної інфраструктури питання безпеки даних вирішується раніше за ціну. Якщо рішення не може бути розгорнуте в суверенному контурі замовника, атестоване за національними вимогами та ізольоване від вивезення даних за кордон, його вартість і функціонал не мають значення.</w:t>
      </w:r>
    </w:p>
    <w:p/>
    <w:p>
      <w:r>
        <w:t>Тому ця декларація є самостійним go/no-go артефактом. Вона фіксує модель захисту даних, відповідність національним та європейським орієнтирам і — головне — жорстке розмежування двох етапів за рівнем чутливості інформації: Етап-1 (несекретний контур, ДСК і синтетика) проти Етапу-2 (контур із грифом, повна атестація КСЗІ).</w:t>
      </w:r>
    </w:p>
    <w:p/>
    <w:p>
      <w:r>
        <w:t>Чесна рамка зрілості. Цей документ свідомо розділяє три речі: (а) що вже реалізовано в демонстраційному контурі Етапу-1; (б) що спроєктовано як архітектурне рішення, але ще не розгорнуто; (в) що є проєктним зобов'язанням Етапу-2, залежним від атестації та рішень замовника. Демонстраційний контур — це прототип функціоналу, а не атестований продакшн. Жодний enterprise-контроль безпеки (КСЗІ, RLS, незмінювані журнали, апаратна ізоляція) не заявляється як уже діючий у демо — кожен такий контроль явно віднесено до відповідного статусу зрілості (розділ 6 і чек-лист розділу 13).</w:t>
      </w:r>
    </w:p>
    <w:p/>
    <w:p>
      <w:r>
        <w:t>Цінова та функціональна частини пропозиції винесені в окремі документи; безпекові інваріанти цієї декларації не залежать від обраної комерційної моделі.</w:t>
      </w:r>
    </w:p>
    <w:p/>
    <w:p/>
    <w:p>
      <w:pPr>
        <w:pStyle w:val="Heading2"/>
      </w:pPr>
      <w:r>
        <w:t>2. Двоетапна модель за рівнем чутливості даних</w:t>
      </w:r>
    </w:p>
    <w:p/>
    <w:p>
      <w:r>
        <w:t>Принцип: не вантажити секретний контур передчасно. Уся розробка, демонстрація та налаштування моделей ведуться на несекретних даних; робота з фактичною оперативною/таємною інформацією відкривається лише після атестації КСЗІ.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Параметр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Етап-1 (несекретний контур)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Етап-2 (контур із грифом)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Рівень даних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ДСК + синтетичні/знеособлені набори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До «цілком таємно» включно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Призначення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Розробка, демо, навчання моделей, приймальні тести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Промислова експлуатація на реальних даних мережі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Середовище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Ізольований стенд замовника / захищений сегмент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Атестований сегмент із КСЗІ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Атестація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Базові організаційні та технічні заходи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Повна атестація КСЗІ за НД ТЗІ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Команда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Загальна проєктна команда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Лише персонал із відповідним допуском (clearance)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Вивезення даних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Заборонене (працюємо зі знеособленими/синтетичними)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Контрольований однонаправлений периметр (див. розд. 9)</w:t>
            </w:r>
          </w:p>
        </w:tc>
      </w:tr>
    </w:tbl>
    <w:p/>
    <w:p/>
    <w:p>
      <w:r>
        <w:t>Припущення (помічаємо явно): конкретний гриф для Етапу-2, склад атестаційної комісії та перелік об'єктів КСЗІ визначаються спільно із замовником та Держспецзв'язку на старті; до цього всі роботи лишаються в межах Етапу-1.</w:t>
      </w:r>
    </w:p>
    <w:p/>
    <w:p>
      <w:r>
        <w:t>Демонстраційний портал https://ukrenergo.radai-1984.dev побудований виключно на синтетичних і знеособлених даних і є артефактом Етапу-1: він показує функціонал трьох самостійних продуктів (A1, A2, A3 — кожен працює незалежно), а також — як опціональна Модель B (горизонт розвитку) — наскрізний сценарій A1→Шина→A2→A3 та агентний контур 24/7, без жодного фактичного оперативного запису мережі. Важливо: цей контур розміщений на зовнішній інфраструктурі (Vercel/Hetzner) поза периметром замовника й поза майбутнім захищеним контуром — він є інструментом демонстрації функціоналу, а не зразком цільового розгортання безпеки. Цільове розгортання (on-prem, у периметрі замовника, з КСЗІ) описане в розділах 3–4 як проєктне зобов'язання Етапу-2.</w:t>
      </w:r>
    </w:p>
    <w:p/>
    <w:p/>
    <w:p>
      <w:pPr>
        <w:pStyle w:val="Heading2"/>
      </w:pPr>
      <w:r>
        <w:t>3. Суверенне розгортання (on-prem) — цільова архітектура Етапу-2</w:t>
      </w:r>
    </w:p>
    <w:p/>
    <w:p>
      <w:pPr>
        <w:ind w:left="454"/>
      </w:pPr>
      <w:r>
        <w:rPr>
          <w:i/>
        </w:rPr>
        <w:t>Статус: спроєктовано як цільова архітектура; не реалізовано в поточному демо-контурі (демо працює на зовнішній інфраструктурі — див. розд. 2).</w:t>
      </w:r>
    </w:p>
    <w:p/>
    <w:p>
      <w:r>
        <w:t>Цільова архітектура — повністю on-premise / суверенна, у периметрі замовника. Хмара постачальника, зовнішні SaaS-залежності та будь-яке зберігання даних замовника поза його контуром — виключені за замовчуванням для продакшн-контуру.</w:t>
      </w:r>
    </w:p>
    <w:p/>
    <w:p>
      <w:pPr>
        <w:pStyle w:val="ListBullet"/>
      </w:pPr>
      <w:r>
        <w:t>Розташування: усі компоненти продакшн-контуру (застосунок, моделі, сховище, журнали) розгортаються в дата-центрі / захищеному сегменті замовника на території України.</w:t>
      </w:r>
    </w:p>
    <w:p>
      <w:pPr>
        <w:pStyle w:val="ListBullet"/>
      </w:pPr>
      <w:r>
        <w:t>Архітектура виконання: контейнеризований застосунок, що відтворюється всередині периметра без зовнішніх викликів під час роботи з даними. *(Демо-контур наразі — один контейнер FastAPI без БД; компоненти зберігання, RLS та журналювання в ньому навмисно не розгорнуті, бо демо не оперує реальними даними.)*</w:t>
      </w:r>
    </w:p>
    <w:p>
      <w:pPr>
        <w:pStyle w:val="ListBullet"/>
      </w:pPr>
      <w:r>
        <w:t>Залежність від інтернету: для продакшн-контуру Етапу-2 — відсутня (контрольований однонаправлений периметр, див. розд. 9). Оновлення моделей і коду доставляються контрольованими офлайн-постачаннями з перевіркою цілісності та підписів.</w:t>
      </w:r>
    </w:p>
    <w:p>
      <w:pPr>
        <w:pStyle w:val="ListBullet"/>
      </w:pPr>
      <w:r>
        <w:t>Право власності на дані: усі дані замовника, похідні набори, навчені на них ваги моделей і журнали лишаються власністю замовника та фізично не залишають його периметр.</w:t>
      </w:r>
    </w:p>
    <w:p/>
    <w:p/>
    <w:p>
      <w:pPr>
        <w:pStyle w:val="Heading2"/>
      </w:pPr>
      <w:r>
        <w:t>4. КСЗІ та національні вимоги (НД ТЗІ) — проєктне зобов'язання Етапу-2</w:t>
      </w:r>
    </w:p>
    <w:p/>
    <w:p>
      <w:pPr>
        <w:ind w:left="454"/>
      </w:pPr>
      <w:r>
        <w:rPr>
          <w:i/>
        </w:rPr>
        <w:t>Статус: проєктне зобов'язання Етапу-2; залежить від рішень замовника та Держспецзв'язку. У демо не реалізовано (несекретний контур не потребує КСЗІ).</w:t>
      </w:r>
    </w:p>
    <w:p/>
    <w:p>
      <w:r>
        <w:t>Для контуру Етапу-2 створюється Комплексна система захисту інформації (КСЗІ) з атестацією за нормативними документами системи технічного захисту інформації (НД ТЗІ) України.</w:t>
      </w:r>
    </w:p>
    <w:p/>
    <w:p>
      <w:pPr>
        <w:pStyle w:val="ListBullet"/>
      </w:pPr>
      <w:r>
        <w:t>Побудова КСЗІ для атестованого сегмента, де обробляється інформація з обмеженим доступом (включно з державною таємницею для Етапу-2).</w:t>
      </w:r>
    </w:p>
    <w:p>
      <w:pPr>
        <w:pStyle w:val="ListBullet"/>
      </w:pPr>
      <w:r>
        <w:t>Атестація об'єкта інформаційної діяльності за участю Держспецзв'язку.</w:t>
      </w:r>
    </w:p>
    <w:p>
      <w:pPr>
        <w:pStyle w:val="ListBullet"/>
      </w:pPr>
      <w:r>
        <w:t>Відповідність законодавству про захист критичної інфраструктури та захист інформації в інформаційно-комунікаційних системах.</w:t>
      </w:r>
    </w:p>
    <w:p>
      <w:pPr>
        <w:pStyle w:val="ListBullet"/>
      </w:pPr>
      <w:r>
        <w:t>Розмежування: Етап-1 не потребує повної атестації КСЗІ (несекретні/синтетичні дані), Етап-2 без атестованої КСЗІ не запускається в промислову експлуатацію.</w:t>
      </w:r>
    </w:p>
    <w:p/>
    <w:p>
      <w:r>
        <w:t>Припущення (помічаємо явно): строки та обсяг атестаційних робіт залежать від класу автоматизованої системи й переліку відомостей, що становлять державну таємницю; вони фіксуються окремим регламентом із замовником і Держспецзв'язку.</w:t>
      </w:r>
    </w:p>
    <w:p/>
    <w:p/>
    <w:p>
      <w:pPr>
        <w:pStyle w:val="Heading2"/>
      </w:pPr>
      <w:r>
        <w:t>5. Міжнародні орієнтири: ISO 27001, NIS2 та зобов'язання ENTSO-E</w:t>
      </w:r>
    </w:p>
    <w:p/>
    <w:p>
      <w:r>
        <w:t>Національна атестація КСЗІ є обов'язковою основою. Понад неї рішення вибудовується за міжнародними орієнтирами.</w:t>
      </w:r>
    </w:p>
    <w:p/>
    <w:p>
      <w:pPr>
        <w:pStyle w:val="ListBullet"/>
      </w:pPr>
      <w:r>
        <w:t>ISO/IEC 27001 — система управління інформаційною безпекою (СУІБ): процеси, ризики, контролі.</w:t>
      </w:r>
    </w:p>
    <w:p>
      <w:r>
        <w:t xml:space="preserve">  - *Статус постачальника:* постачальник наразі не сертифікований за ISO/IEC 27001; сертифікація розглядається як зобов'язання на горизонті Етапу-2 і не подається як наявний факт.</w:t>
      </w:r>
    </w:p>
    <w:p>
      <w:r>
        <w:t xml:space="preserve">  - *Scope мапінгу:* розділи 6–7 цієї декларації орієнтовно мапляться на контролі Annex A групи A.5 (організаційні), A.8 (контроль доступу), A.12 (операційна безпека, журналювання) та A.9 (управління доступом за редакцією 2013) / відповідні їх еквіваленти редакції 2022. Точний мапінг scope узгоджується на старті як окремий артефакт.</w:t>
      </w:r>
    </w:p>
    <w:p>
      <w:pPr>
        <w:pStyle w:val="ListBullet"/>
      </w:pPr>
      <w:r>
        <w:t>NIS2 — директива ЄС щодо мережевої та інформаційної безпеки.</w:t>
      </w:r>
    </w:p>
    <w:p>
      <w:r>
        <w:t xml:space="preserve">  - *Чесне застереження:* NIS2 — директива ЄС і прямо на українського ОСП юридично ще не діє. Вона подається виключно як орієнтир євроінтеграції, а не як чинне юридичне зобов'язання. Імплементація для UA можлива в майбутньому в рамках наближення законодавства до acquis ЄС.</w:t>
      </w:r>
    </w:p>
    <w:p>
      <w:pPr>
        <w:pStyle w:val="ListBullet"/>
      </w:pPr>
      <w:r>
        <w:t>ENTSO-E / Catalogue of Measures (28.06.2017): угода містить чотири категорії заходів — *Protection and Dynamic Stability; Operations and Markets; Legal and Regulatory; IT including Cybersecurity*. Наші три продукти закривають категорію IT including Cybersecurity — кожне рішення самостійно.</w:t>
      </w:r>
    </w:p>
    <w:p/>
    <w:p>
      <w:r>
        <w:t>Контекст зобов'язань: синхронізація з ENTSO-E — 16.03.2022, повне членство — 14.12.2023. Відповідність IT/кібербезпековим вимогам ENTSO-E є обов'язковою умовою членства, а не формальністю.</w:t>
      </w:r>
    </w:p>
    <w:p/>
    <w:p>
      <w:pPr>
        <w:ind w:left="454"/>
      </w:pPr>
      <w:r>
        <w:rPr>
          <w:i/>
        </w:rPr>
        <w:t>*Примітка щодо причинності:* раніше торгова ємність міжсистемних перетинів зросла з 1200 до 1700 МВт (+500 МВт; ENTSO-E, 28.11.2023). Це зростання зумовлене фізичними та ринковими чинниками синхронізації, а не безпосередньо виконанням IT-вимог; ми не приписуємо цей ефект кібербезпеці й наводимо цифру лише як контекст масштабу інтеграції.</w:t>
      </w:r>
    </w:p>
    <w:p/>
    <w:p/>
    <w:p>
      <w:pPr>
        <w:pStyle w:val="Heading2"/>
      </w:pPr>
      <w:r>
        <w:t>6. Контролі безпеки: матриця зрілості (Implemented / Designed / Committed)</w:t>
      </w:r>
    </w:p>
    <w:p/>
    <w:p>
      <w:r>
        <w:t>Нижче — чесний стан кожного контролю. Implemented = працює в демо-контурі Етапу-1; Designed = архітектурно спроєктовано, код/конфіг ще не розгорнуто; Committed = проєктне зобов'язання Етапу-2, залежить від атестації/замовника.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Контроль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Статус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Що це означає по суті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Функціонал A1 (Система управління ризиками безпеки та прогнозування загроз)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Implemented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Працює в демо на синтетиці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Функціонал A2 (Система виявлення зловживань на енергоринку)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Implemented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Працює в демо на синтетиці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Функціонал A3 (Прогноз технологічних втрат передачі)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Implemented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Працює в демо на синтетиці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Платформа/наскрізний сценарій + агентний контур 24/7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Опціонально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Горизонт розвитку (Модель B), не частина базової поставки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RBAC (ролі, найменші привілеї)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Designed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Архітектура ролей визначена; у демо без БД повноцінне рольове розмежування не розгорнуте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RLS (row-level security)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Committed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Фізично потребує СУБД із RLS; у демо БД відсутня, тому RLS не реалізований. Розгортається в продакшн-контурі Етапу-2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Розмежування адміна безпеки / адміна системи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Committed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Організаційно-технічний контроль атестованого контуру; у демо не показано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Незмінювані (append-only) журнали аудиту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Committed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Потребує сховища журналів продакшн-контуру; у демо не реалізовано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Ізоляція секретного контуру (Етап-1/Етап-2)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Committed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Залежить від побудови атестованого сегмента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Однонаправлений периметр вивезення (data diode)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Committed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Апаратний компонент Етапу-2 (див. розд. 9)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КСЗІ / атестація за НД ТЗІ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Committed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Спільно з Держспецзв'язку, Етап-2</w:t>
            </w:r>
          </w:p>
        </w:tc>
      </w:tr>
    </w:tbl>
    <w:p/>
    <w:p/>
    <w:p>
      <w:r>
        <w:t>Опис цільових контролів:</w:t>
      </w:r>
    </w:p>
    <w:p/>
    <w:p>
      <w:pPr>
        <w:pStyle w:val="ListBullet"/>
      </w:pPr>
      <w:r>
        <w:t>RBAC: доступ до функцій і даних — лише за ролями; принцип найменших привілеїв; розмежування ролей розробки, експлуатації та адміністрування безпеки.</w:t>
      </w:r>
    </w:p>
    <w:p>
      <w:pPr>
        <w:pStyle w:val="ListBullet"/>
      </w:pPr>
      <w:r>
        <w:t>RLS: обмеження доступу на рівні рядків — користувач бачить лише ті записи, на які має право (за об'єктом мережі, зоною відповідальності, рівнем чутливості). Реалізується засобами СУБД у продакшн-контурі.</w:t>
      </w:r>
    </w:p>
    <w:p>
      <w:pPr>
        <w:pStyle w:val="ListBullet"/>
      </w:pPr>
      <w:r>
        <w:t>Ізоляція секретного контуру: контур Етапу-2 фізично та логічно відокремлений від Етапу-1; перенесення даних між контурами — лише контрольованими процедурами в напрямку, дозволеному режимом.</w:t>
      </w:r>
    </w:p>
    <w:p>
      <w:pPr>
        <w:pStyle w:val="ListBullet"/>
      </w:pPr>
      <w:r>
        <w:t>Розмежування адміністрування: адміністратор безпеки та адміністратор системи — різні ролі; жодна особа не має повного неконтрольованого доступу; адміністратор системи не може модифікувати журнали безпеки.</w:t>
      </w:r>
    </w:p>
    <w:p/>
    <w:p/>
    <w:p>
      <w:pPr>
        <w:pStyle w:val="Heading2"/>
      </w:pPr>
      <w:r>
        <w:t>7. Аудит доступу та журналювання — цільова модель Етапу-2</w:t>
      </w:r>
    </w:p>
    <w:p/>
    <w:p>
      <w:pPr>
        <w:ind w:left="454"/>
      </w:pPr>
      <w:r>
        <w:rPr>
          <w:i/>
        </w:rPr>
        <w:t>Статус: Designed/Committed. У демо-контурі журналюються дії агентного контуру на рівні застосунку (демонстрація концепції); незмінюване сховище журналів і захист від модифікації адміністратором у демо не реалізовані — це контроль продакшн-контуру.</w:t>
      </w:r>
    </w:p>
    <w:p/>
    <w:p>
      <w:pPr>
        <w:pStyle w:val="ListBullet"/>
      </w:pPr>
      <w:r>
        <w:t>Повний аудит-трейл: усі дії з даними та конфігурацією — хто, що, коли, з якого об'єкта — фіксуються в журналах.</w:t>
      </w:r>
    </w:p>
    <w:p>
      <w:pPr>
        <w:pStyle w:val="ListBullet"/>
      </w:pPr>
      <w:r>
        <w:t>Незмінюваність: журнали продакшн-контуру ведуться у append-only сховищі, захищеному від модифікації адміністраторами системи (розмежування з роллю адміністратора безпеки).</w:t>
      </w:r>
    </w:p>
    <w:p>
      <w:pPr>
        <w:pStyle w:val="ListBullet"/>
      </w:pPr>
      <w:r>
        <w:t>Доступ для контролю: журнали безпеки доступні службі безпеки замовника й Держспецзв'язку.</w:t>
      </w:r>
    </w:p>
    <w:p>
      <w:pPr>
        <w:pStyle w:val="ListBullet"/>
      </w:pPr>
      <w:r>
        <w:t>Агентний контур 24/7 *(опціональна Модель B — горизонт розвитку, не частина базової поставки трьох продуктів):* кожна автономна дія агента журналюється й атрибутується (показано в демо на рівні застосунку).</w:t>
      </w:r>
    </w:p>
    <w:p/>
    <w:p/>
    <w:p>
      <w:pPr>
        <w:pStyle w:val="Heading2"/>
      </w:pPr>
      <w:r>
        <w:t>8. Персонал та форми допуску (clearance)</w:t>
      </w:r>
    </w:p>
    <w:p/>
    <w:p>
      <w:pPr>
        <w:ind w:left="454"/>
      </w:pPr>
      <w:r>
        <w:rPr>
          <w:i/>
        </w:rPr>
        <w:t>Статус: Committed (Етап-2). Ціновий аспект витрат на допуски та воєнний контекст винесено в комерційну частину пропозиції й тут не розглядається.</w:t>
      </w:r>
    </w:p>
    <w:p/>
    <w:p>
      <w:pPr>
        <w:pStyle w:val="ListBullet"/>
      </w:pPr>
      <w:r>
        <w:t>Форма/рівень допуску: роботи Етапу-2 виконує лише персонал із допуском до державної таємниці відповідної форми (форма 1/2/3 визначається за фактичним грифом оброблюваних відомостей; конкретна форма фіксується на старті Етапу-2 спільно із замовником і Держспецзв'язку).</w:t>
      </w:r>
    </w:p>
    <w:p>
      <w:pPr>
        <w:pStyle w:val="ListBullet"/>
      </w:pPr>
      <w:r>
        <w:t>Процедура оформлення: допуск оформлюється за процедурою, встановленою законодавством України про державну таємницю, через режимно-секретний орган замовника / за участю СБУ.</w:t>
      </w:r>
    </w:p>
    <w:p>
      <w:pPr>
        <w:pStyle w:val="ListBullet"/>
      </w:pPr>
      <w:r>
        <w:t>Хто верифікує: перевірку та надання допуску здійснюють уповноважені державні органи; замовник підтверджує наявність чинних допусків перед допуском персоналу до робіт Етапу-2.</w:t>
      </w:r>
    </w:p>
    <w:p>
      <w:pPr>
        <w:pStyle w:val="ListBullet"/>
      </w:pPr>
      <w:r>
        <w:t>Обмеження доступу: персонал без допуску до робіт Етапу-2 не залучається; Етап-1 (несекретні/синтетичні дані) виконується загальною проєктною командою без розширених допусків і без доступу до контуру Етапу-2.</w:t>
      </w:r>
    </w:p>
    <w:p/>
    <w:p/>
    <w:p>
      <w:pPr>
        <w:pStyle w:val="Heading2"/>
      </w:pPr>
      <w:r>
        <w:t>9. Контроль однонаправленості периметра та канал оновлень</w:t>
      </w:r>
    </w:p>
    <w:p/>
    <w:p>
      <w:r>
        <w:t>Інваріант, який діє незалежно від комерційної моделі: дані замовника не залишають територію України — ні в проді, ні під час розробки, ні в журналах, ні в телеметрії. Нижче — чесний опис механізму, без беззастережних абсолютів.</w:t>
      </w:r>
    </w:p>
    <w:p/>
    <w:p>
      <w:pPr>
        <w:pStyle w:val="ListBullet"/>
      </w:pPr>
      <w:r>
        <w:t>Вихідний напрямок (назовні): забезпечується апаратним data diode — однонаправленим оптоволоконним каналом, що фізично не має зворотного тракту. Лише за наявності справжнього апаратного діода коректно вживати формулювання «технічно неможливо вивезти»; для «контрольованого шлюзу» на рівні ПЗ ми такого абсолюту не заявляємо.</w:t>
      </w:r>
    </w:p>
    <w:p>
      <w:pPr>
        <w:pStyle w:val="ListBullet"/>
      </w:pPr>
      <w:r>
        <w:t>Канал внесення оновлень існує — і ми це визнаємо прямо. Будь-який канал доставки всередину є потенційним вектором, тому він контролюється окремо:</w:t>
      </w:r>
    </w:p>
    <w:p>
      <w:r>
        <w:t xml:space="preserve">  - офлайн-постачання моделей/коду (фізичний носій або ізольований one-way ingest);</w:t>
      </w:r>
    </w:p>
    <w:p>
      <w:r>
        <w:t xml:space="preserve">  - карантинна зона з перевіркою перед внесенням у бойовий контур;</w:t>
      </w:r>
    </w:p>
    <w:p>
      <w:r>
        <w:t xml:space="preserve">  - перевірка цифрових підписів та цілісності кожного постачання (див. supply-chain контроль, розд. 10);</w:t>
      </w:r>
    </w:p>
    <w:p>
      <w:r>
        <w:t xml:space="preserve">  - внесення виконується контрольованою процедурою з журналюванням і розмежуванням ролей.</w:t>
      </w:r>
    </w:p>
    <w:p>
      <w:pPr>
        <w:pStyle w:val="ListBullet"/>
      </w:pPr>
      <w:r>
        <w:t>Зовнішні SaaS, аналітика та хмарні сервіси постачальника виключені з продакшн-архітектури.</w:t>
      </w:r>
    </w:p>
    <w:p>
      <w:pPr>
        <w:pStyle w:val="ListBullet"/>
      </w:pPr>
      <w:r>
        <w:t>Демо-контур на зовнішньому домені оперує виключно синтетикою й не містить даних замовника, тому до нього ці інваріанти не застосовуються (це не цільовий контур безпеки).</w:t>
      </w:r>
    </w:p>
    <w:p/>
    <w:p>
      <w:pPr>
        <w:ind w:left="454"/>
      </w:pPr>
      <w:r>
        <w:rPr>
          <w:i/>
        </w:rPr>
        <w:t>Статус: апаратний data diode та карантинний ingest — Committed (Етап-2). У демо не реалізовано.</w:t>
      </w:r>
    </w:p>
    <w:p/>
    <w:p/>
    <w:p>
      <w:pPr>
        <w:pStyle w:val="Heading2"/>
      </w:pPr>
      <w:r>
        <w:t>10. Модель загроз, supply-chain, реагування та відновлення</w:t>
      </w:r>
    </w:p>
    <w:p/>
    <w:p>
      <w:r>
        <w:t>Цей розділ заміщує комерційний/ROI-зміст безпековим. Фінансове обґрунтування (ROI, ринкові якорі) винесене в комерційну частину пропозиції й тут не дублюється.</w:t>
      </w:r>
    </w:p>
    <w:p/>
    <w:p>
      <w:pPr>
        <w:pStyle w:val="Heading3"/>
      </w:pPr>
      <w:r>
        <w:t>10.1. Коротка модель загроз (threat model)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Актор загрози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Сценарій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Контроль (цільовий)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Зовнішній зловмисник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Спроба проникнення в периметр, вивезення даних мережі, вплив на цілісність прогнозів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On-prem ізоляція, відсутність вихідних каналів (data diode), КСЗІ, мережева сегментація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Інсайдер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Зловживання легітимним доступом, ексфільтрація, прихована зміна даних/журналів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RBAC + найменші привілеї, RLS, розмежування адміна безпеки/системи, незмінювані журнали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Компрометація каналу оновлень (supply chain)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Підміна моделі/коду під час офлайн-постачання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Підпис і верифікація постачань, карантин, перевірка цілісності, контрольована процедура внесення</w:t>
            </w:r>
          </w:p>
        </w:tc>
      </w:tr>
    </w:tbl>
    <w:p/>
    <w:p/>
    <w:p>
      <w:pPr>
        <w:pStyle w:val="Heading3"/>
      </w:pPr>
      <w:r>
        <w:t>10.2. Supply-chain контроль (ланцюг постачання моделей і коду)</w:t>
      </w:r>
    </w:p>
    <w:p/>
    <w:p>
      <w:pPr>
        <w:pStyle w:val="ListBullet"/>
      </w:pPr>
      <w:r>
        <w:t>Кожне офлайн-постачання (ваги моделей, код, оновлення) підписується на боці постачальника й верифікується в карантинній зоні замовника перед внесенням.</w:t>
      </w:r>
    </w:p>
    <w:p>
      <w:pPr>
        <w:pStyle w:val="ListBullet"/>
      </w:pPr>
      <w:r>
        <w:t>Перевірка цілісності (контрольні суми/підписи) обов'язкова; постачання без валідного підпису відхиляється.</w:t>
      </w:r>
    </w:p>
    <w:p>
      <w:pPr>
        <w:pStyle w:val="ListBullet"/>
      </w:pPr>
      <w:r>
        <w:t>Фіксується походження (provenance) кожного артефакту: версія, автор, дата, хеш.</w:t>
      </w:r>
    </w:p>
    <w:p/>
    <w:p>
      <w:pPr>
        <w:pStyle w:val="Heading3"/>
      </w:pPr>
      <w:r>
        <w:t>10.3. Реагування на інциденти (incident response)</w:t>
      </w:r>
    </w:p>
    <w:p/>
    <w:p>
      <w:pPr>
        <w:pStyle w:val="ListBullet"/>
      </w:pPr>
      <w:r>
        <w:t>Базовий процес: виявлення → класифікація → стримування → усунення → відновлення → post-mortem.</w:t>
      </w:r>
    </w:p>
    <w:p>
      <w:pPr>
        <w:pStyle w:val="ListBullet"/>
      </w:pPr>
      <w:r>
        <w:t>Журнали аудиту (розд. 7) — основа розслідування; ескалація до служби безпеки замовника й, за потреби, Держспецзв'язку.</w:t>
      </w:r>
    </w:p>
    <w:p>
      <w:pPr>
        <w:pStyle w:val="ListBullet"/>
      </w:pPr>
      <w:r>
        <w:t>Конкретні часові цільові показники й матриця ескалації узгоджуються із замовником на старті Етапу-2.</w:t>
      </w:r>
    </w:p>
    <w:p/>
    <w:p>
      <w:pPr>
        <w:pStyle w:val="Heading3"/>
      </w:pPr>
      <w:r>
        <w:t>10.4. Бекап і відновлення (RPO/RTO)</w:t>
      </w:r>
    </w:p>
    <w:p/>
    <w:p>
      <w:pPr>
        <w:pStyle w:val="ListBullet"/>
      </w:pPr>
      <w:r>
        <w:t>Регулярне резервне копіювання в межах периметра (без вивезення).</w:t>
      </w:r>
    </w:p>
    <w:p>
      <w:pPr>
        <w:pStyle w:val="ListBullet"/>
      </w:pPr>
      <w:r>
        <w:t>Цільові RPO/RTO фіксуються спільно із замовником під клас системи на старті Етапу-2 *(конкретні значення в цьому документі свідомо не наводяться — вони предмет узгодження, а не декларації)*.</w:t>
      </w:r>
    </w:p>
    <w:p/>
    <w:p>
      <w:pPr>
        <w:pStyle w:val="Heading3"/>
      </w:pPr>
      <w:r>
        <w:t>10.5. Управління вразливостями та патчами в air-gap</w:t>
      </w:r>
    </w:p>
    <w:p/>
    <w:p>
      <w:pPr>
        <w:pStyle w:val="ListBullet"/>
      </w:pPr>
      <w:r>
        <w:t>Оскільки прямий доступ до інтернету відсутній, патчі й оновлення безпеки доставляються тим самим контрольованим офлайн-каналом (розд. 9) з підписом і карантином.</w:t>
      </w:r>
    </w:p>
    <w:p>
      <w:pPr>
        <w:pStyle w:val="ListBullet"/>
      </w:pPr>
      <w:r>
        <w:t>Періодичний перегляд вразливостей компонентів; план патч-менеджменту під обмеження air-gap узгоджується на старті Етапу-2.</w:t>
      </w:r>
    </w:p>
    <w:p/>
    <w:p/>
    <w:p>
      <w:pPr>
        <w:pStyle w:val="Heading2"/>
      </w:pPr>
      <w:r>
        <w:t>11. Залежність від постачальника, життєвий цикл і безпека розробки</w:t>
      </w:r>
    </w:p>
    <w:p/>
    <w:p>
      <w:r>
        <w:t>Цей розділ закриває vendor lock-in, exit і безпеку самого процесу розробки.</w:t>
      </w:r>
    </w:p>
    <w:p/>
    <w:p>
      <w:pPr>
        <w:pStyle w:val="ListBullet"/>
      </w:pPr>
      <w:r>
        <w:t>Власність замовника: дані, похідні набори та навчені ваги моделей належать замовнику (повторено з розд. 3).</w:t>
      </w:r>
    </w:p>
    <w:p>
      <w:pPr>
        <w:pStyle w:val="ListBullet"/>
      </w:pPr>
      <w:r>
        <w:t>Повна передача у власність без техзалежності: продукт разом із повним вихідним кодом передається у власність Замовника без технічної залежності від Розробника — Замовник може самостійно експлуатувати, розгортати та розвивати рішення.</w:t>
      </w:r>
    </w:p>
    <w:p>
      <w:pPr>
        <w:pStyle w:val="ListBullet"/>
      </w:pPr>
      <w:r>
        <w:t>Права на методологію за Розробником: авторські права, методологія та ноу-хау залишаються за Розробником (для розвитку нових продуктів); передача продукту й коду цього не обмежує.</w:t>
      </w:r>
    </w:p>
    <w:p>
      <w:pPr>
        <w:pStyle w:val="ListBullet"/>
      </w:pPr>
      <w:r>
        <w:t>Без обов'язків постійного супроводу: Розробник не несе обов'язків на постійне супроводження / технічну підтримку після передачі; супровід (за бажанням Замовника) оформлюється окремою угодою.</w:t>
      </w:r>
    </w:p>
    <w:p>
      <w:pPr>
        <w:pStyle w:val="ListBullet"/>
      </w:pPr>
      <w:r>
        <w:t>Source code escrow / exit: передбачається депонування вихідного коду (escrow) або передача коду замовнику за умовами контракту, щоб виключити критичну залежність від постачальника. Конкретний механізм (escrow-агент чи пряма передача) фіксується в контракті.</w:t>
      </w:r>
    </w:p>
    <w:p>
      <w:pPr>
        <w:pStyle w:val="ListBullet"/>
      </w:pPr>
      <w:r>
        <w:t>Супровід air-gap системи: модель супроводу системи, що працює в ізольованому контурі роками, узгоджується окремо: оновлення без доступу розробника до бойових даних (через офлайн-канал розд. 9), процедури діагностики на знеособлених/синтетичних даних.</w:t>
      </w:r>
    </w:p>
    <w:p>
      <w:pPr>
        <w:pStyle w:val="ListBullet"/>
      </w:pPr>
      <w:r>
        <w:t>Оновлення моделей без доступу до бойових даних: перенавчання/донавчання виконується на знеособлених або синтетичних наборах поза бойовим контуром; готова модель вноситься офлайн-каналом із підписом.</w:t>
      </w:r>
    </w:p>
    <w:p>
      <w:pPr>
        <w:pStyle w:val="ListBullet"/>
      </w:pPr>
      <w:r>
        <w:t>Безпека dev-середовища Етапу-1: середовище розробки оперує синтетикою/знеособленими даними, але архітектура мережі та знеособлені набори вже є чутливими — тому dev-середовище також підлягає контролю доступу, ізоляції та журналюванню (не «відкритий стенд»).</w:t>
      </w:r>
    </w:p>
    <w:p>
      <w:pPr>
        <w:pStyle w:val="ListBullet"/>
      </w:pPr>
      <w:r>
        <w:t>Передача знань: процедура передачі знань і документації команді замовника передбачається на завершальному етапі (operational handover).</w:t>
      </w:r>
    </w:p>
    <w:p/>
    <w:p/>
    <w:p>
      <w:pPr>
        <w:pStyle w:val="Heading2"/>
      </w:pPr>
      <w:r>
        <w:t>12. Додатки (стають Annexes пропозиції)</w:t>
      </w:r>
    </w:p>
    <w:p/>
    <w:p>
      <w:pPr>
        <w:pStyle w:val="ListBullet"/>
      </w:pPr>
      <w:r>
        <w:t>4 ТЗ за ГОСТ 34.602 (A1, A2, A3, Платформа)</w:t>
      </w:r>
    </w:p>
    <w:p>
      <w:pPr>
        <w:pStyle w:val="ListBullet"/>
      </w:pPr>
      <w:r>
        <w:t>Кошторис (смета) — у комерційній частині</w:t>
      </w:r>
    </w:p>
    <w:p>
      <w:pPr>
        <w:pStyle w:val="ListBullet"/>
      </w:pPr>
      <w:r>
        <w:t>Обґрунтування вартості (70 джерел) — у комерційній частині</w:t>
      </w:r>
    </w:p>
    <w:p>
      <w:pPr>
        <w:pStyle w:val="ListBullet"/>
      </w:pPr>
      <w:r>
        <w:t>ROI-кейс і ринкові якорі цін — у комерційній частині (свідомо не дублюються в безпековій декларації)</w:t>
      </w:r>
    </w:p>
    <w:p>
      <w:pPr>
        <w:pStyle w:val="ListBullet"/>
      </w:pPr>
      <w:r>
        <w:t>Демонстраційний контур: https://ukrenergo.radai-1984.dev (прототип функціоналу на синтетиці; не цільовий контур безпеки)</w:t>
      </w:r>
    </w:p>
    <w:p/>
    <w:p/>
    <w:p>
      <w:pPr>
        <w:pStyle w:val="Heading2"/>
      </w:pPr>
      <w:r>
        <w:t>13. Підсумок для CISO: чек-лист go/no-go із чесним статусом</w:t>
      </w:r>
    </w:p>
    <w:p/>
    <w:p>
      <w:r>
        <w:t>Колонки: Поточний стан демо — що реально працює в Етапі-1; Зобов'язання Етапу-2 — що буде реалізовано в продакшн-контурі; Залежить від замовника — потребує рішень/ресурсів замовника чи держоргану.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Критерій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Поточний стан демо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Зобов'язання Етапу-2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Залежить від замовника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Функціонал A1 (управління ризиками безпеки)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✅ Працює (на синтетиці)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Перенесення в продакшн-контур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Функціонал A2 (виявлення зловживань на енергоринку)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✅ Працює (на синтетиці)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Перенесення в продакшн-контур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Функціонал A3 (прогноз технологічних втрат передачі)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✅ Працює (на синтетиці)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Перенесення в продакшн-контур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Платформа/агентний контур 24/7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Горизонт розвитку (опціонально)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Опціональна Модель B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Суверенне on-prem розгортання в периметрі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❌ Демо на зовнішній інфра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✅ Цільова архітектура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Периметр/ЦОД замовника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Дані не залишають територію України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✅ (демо без даних замовника)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✅ Data diode + ізоляція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КСЗІ / атестація за НД ТЗІ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❌ Не застосовно до демо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✅ Зобов'язання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✅ Держспецзв'язку + замовник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Відповідність захисту критичної інфраструктури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Частково (організаційно)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✅ У складі КСЗІ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✅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ISO 27001 (постачальник)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❌ Не сертифікований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Розглядається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NIS2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Орієнтир (юридично не діє для UA-ОСП)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Орієнтир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Залежить від нац. імплементації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RBAC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Designed (без БД у демо)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✅ Розгортання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RLS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❌ Немає БД у демо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✅ Засобами СУБД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Ізоляція секретного контуру (Етап-1/Етап-2)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❌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✅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✅ Атестований сегмент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Незмінювані журнали аудиту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❌ (демо — журнал застосунку)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✅ Append-only сховище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Розмежування адміна безпеки / системи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❌ Не показано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✅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✅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Однонаправлений периметр (data diode)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❌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✅ Апаратний компонент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✅ Закупівля/монтаж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Персонал із допуском для Етапу-2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❌ Не застосовно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✅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✅ Держоргани + замовник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Модель загроз / IR / RPO-RTO / supply-chain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Описано (розд. 10)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✅ Деталізація на старті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✅ Цільові показники</w:t>
            </w:r>
          </w:p>
        </w:tc>
      </w:tr>
    </w:tbl>
    <w:p/>
    <w:p/>
    <w:p>
      <w:r>
        <w:t>Як читати цей чек-лист. Зелене в колонці «демо» означає реально працює зараз; решта контролів безпеки enterprise-рівня — це чесні зобов'язання Етапу-2, а не наявний стан. Ми свідомо не ставимо «Так» там, де контроль ще не розгорнуто: для критичної інфраструктури правдоподібний жовтий статус цінніший за неправдоподібний зелений.</w:t>
      </w:r>
    </w:p>
    <w:p/>
    <w:p>
      <w:r>
        <w:t>Безпекові інваріанти — суверенність, відсутність вивезення даних, КСЗІ для секретного контуру, розмежування етапів, незмінюваність журналів, розмежування адмінів — є передумовою промислової експлуатації й реалізуються на Етапі-2 незалежно від обраної комерційної моделі. Поточний демонстраційний контур доводить функціонал, але навмисно не претендує на статус атестованого захищеного середовища.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40"/>
      <w:ind w:firstLine="709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ind w:firstLine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ind w:firstLine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ind w:firstLine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