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  <w:sz w:val="22"/>
        </w:rPr>
        <w:t>Гриф обмеження доступу: «ЦІЛКОМ ТАЄМНО»</w:t>
        <w:br/>
        <w:t>Прим. № ____   (проєкт — до затвердження КСЗІ)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sz w:val="22"/>
              </w:rPr>
              <w:t>ПОГОДЖЕНО</w:t>
              <w:br/>
              <w:t>Генеральний директор ВИКОНАВЦЯ</w:t>
              <w:br/>
              <w:t>____________ ______________</w:t>
              <w:br/>
              <w:t>«___» __________ 20__ р.</w:t>
              <w:br/>
              <w:t xml:space="preserve">        М.П.</w:t>
            </w:r>
          </w:p>
        </w:tc>
        <w:tc>
          <w:tcPr>
            <w:tcW w:type="dxa" w:w="4320"/>
          </w:tcPr>
          <w:p>
            <w:r>
              <w:rPr>
                <w:sz w:val="22"/>
              </w:rPr>
              <w:t>ЗАТВЕРДЖУЮ</w:t>
              <w:br/>
              <w:t>Генеральний директор</w:t>
              <w:br/>
              <w:t>НЕК «УКРЕНЕРГО»</w:t>
              <w:br/>
              <w:t>____________ ______________</w:t>
              <w:br/>
              <w:t>«___» __________ 20__ р.</w:t>
              <w:br/>
              <w:t xml:space="preserve">        М.П.</w:t>
            </w:r>
          </w:p>
        </w:tc>
      </w:tr>
    </w:tbl>
    <w:p/>
    <w:p/>
    <w:p/>
    <w:p>
      <w:pPr>
        <w:jc w:val="center"/>
      </w:pPr>
      <w:r>
        <w:rPr>
          <w:b/>
          <w:sz w:val="28"/>
        </w:rPr>
        <w:t>АВТОМАТИЗОВАНА СИСТЕМА</w:t>
      </w:r>
    </w:p>
    <w:p>
      <w:pPr>
        <w:jc w:val="center"/>
      </w:pPr>
      <w:r>
        <w:rPr>
          <w:b/>
          <w:sz w:val="32"/>
        </w:rPr>
        <w:t>«Комплект із трьох самостійних продуктів для ОЕС України»</w:t>
      </w:r>
    </w:p>
    <w:p>
      <w:pPr>
        <w:jc w:val="center"/>
      </w:pPr>
      <w:r>
        <w:rPr>
          <w:b w:val="0"/>
          <w:sz w:val="24"/>
        </w:rPr>
        <w:t>(3П ОЕС)</w:t>
      </w:r>
    </w:p>
    <w:p>
      <w:pPr>
        <w:jc w:val="center"/>
      </w:pPr>
      <w:r>
        <w:rPr>
          <w:b w:val="0"/>
          <w:sz w:val="24"/>
        </w:rPr>
      </w:r>
    </w:p>
    <w:p>
      <w:pPr>
        <w:jc w:val="center"/>
      </w:pPr>
      <w:r>
        <w:rPr>
          <w:b/>
          <w:sz w:val="30"/>
        </w:rPr>
        <w:t>ДОРОЖНЯ КАРТА ВПРОВАДЖЕННЯ</w:t>
      </w:r>
    </w:p>
    <w:p/>
    <w:p/>
    <w:p>
      <w:pPr>
        <w:jc w:val="center"/>
      </w:pPr>
      <w:r>
        <w:rPr>
          <w:sz w:val="22"/>
        </w:rPr>
        <w:t>Позначення документа: UE-3PROD.RM</w:t>
      </w:r>
    </w:p>
    <w:p>
      <w:pPr>
        <w:jc w:val="center"/>
      </w:pPr>
      <w:r>
        <w:rPr>
          <w:sz w:val="22"/>
        </w:rPr>
        <w:t>Кількість аркушів: ____</w:t>
      </w:r>
    </w:p>
    <w:p>
      <w:pPr>
        <w:jc w:val="center"/>
      </w:pPr>
      <w:r>
        <w:rPr>
          <w:sz w:val="22"/>
        </w:rPr>
        <w:t>Редакція: 1.0</w:t>
      </w:r>
    </w:p>
    <w:p/>
    <w:p/>
    <w:p>
      <w:pPr>
        <w:ind w:firstLine="0"/>
        <w:jc w:val="center"/>
      </w:pPr>
      <w:r>
        <w:rPr>
          <w:b/>
          <w:sz w:val="22"/>
        </w:rPr>
        <w:t>ПРИВАТНЕ АКЦІОНЕРНЕ ТОВАРИСТВО «НАЦІОНАЛЬНА ЕНЕРГЕТИЧНА КОМПАНІЯ «УКРЕНЕРГО»</w:t>
      </w:r>
    </w:p>
    <w:p>
      <w:pPr>
        <w:ind w:firstLine="0"/>
        <w:jc w:val="center"/>
      </w:pPr>
      <w:r>
        <w:rPr>
          <w:i/>
          <w:sz w:val="20"/>
        </w:rPr>
        <w:t>Замовник: ПрАТ «НЕК «УКРЕНЕРГО» · код ЄДРПОУ 00100227 · 01032, м. Київ, вул. Симона Петлюри, 25</w:t>
      </w:r>
    </w:p>
    <w:p/>
    <w:p/>
    <w:p>
      <w:pPr>
        <w:ind w:firstLine="0"/>
        <w:jc w:val="center"/>
      </w:pPr>
      <w:r>
        <w:rPr>
          <w:sz w:val="24"/>
        </w:rPr>
        <w:t>Київ</w:t>
      </w:r>
    </w:p>
    <w:p>
      <w:pPr>
        <w:ind w:firstLine="0"/>
        <w:jc w:val="center"/>
      </w:pPr>
      <w:r>
        <w:rPr>
          <w:sz w:val="24"/>
        </w:rPr>
        <w:t>2026</w:t>
      </w:r>
    </w:p>
    <w:p>
      <w:r>
        <w:br w:type="page"/>
      </w:r>
    </w:p>
    <w:p>
      <w:pPr>
        <w:pStyle w:val="Heading1"/>
      </w:pPr>
      <w:r>
        <w:t>Дорожня карта впровадження</w:t>
      </w:r>
    </w:p>
    <w:p>
      <w:pPr>
        <w:pStyle w:val="Heading2"/>
      </w:pPr>
      <w:r>
        <w:t>Дорожня карта впровадження трьох самостійних продуктів для ПрАТ «НЕК «УКРЕНЕРГО»</w:t>
      </w:r>
    </w:p>
    <w:p/>
    <w:p>
      <w:r>
        <w:t>Замовник: ПрАТ «НЕК «УКРЕНЕРГО», ЄДРПОУ 00100227, 01032, м. Київ, вул. Симона Петлюри, 25</w:t>
      </w:r>
    </w:p>
    <w:p>
      <w:r>
        <w:t>Аудиторія документа: PMO, CTO, Головний диспетчер, Правління (фінансові наслідки — розд. 7.1)</w:t>
      </w:r>
    </w:p>
    <w:p>
      <w:r>
        <w:t>Статус: Робоча версія для узгодження перед стартом</w:t>
      </w:r>
    </w:p>
    <w:p>
      <w:r>
        <w:t>Робоче демо: https://ukrenergo.radai-1984.dev (ілюстративне, у периметрі постачальника — не частина постачання; див. розд. 13)</w:t>
      </w:r>
    </w:p>
    <w:p/>
    <w:p/>
    <w:p>
      <w:pPr>
        <w:pStyle w:val="Heading2"/>
      </w:pPr>
      <w:r>
        <w:t>1. Призначення документа</w:t>
      </w:r>
    </w:p>
    <w:p/>
    <w:p>
      <w:r>
        <w:t>Цей документ описує, як саме платформа впроваджується у живого системного оператора передачі — без зупинки операційної діяльності, без ризику для диспетчерського контуру, з чіткими точками прийняття рішень. Це не опис «що ми збудуємо» (це закрито технічними завданнями за ISO/IEC/IEEE 29148 — Annexes), а опис послідовності робіт, ролей, передумов, критеріїв переходу між фазами та прив'язки оплати до них.</w:t>
      </w:r>
    </w:p>
    <w:p/>
    <w:p>
      <w:r>
        <w:t>Ми виходимо з того, що Укренерго працює в режимі воєнного часу, під атаками на інфраструктуру (атака 22.03.2024 — збиток ОСП 90–100 млн EUR), з жорсткими зобов'язаннями перед ENTSO-E після синхронізації 16.03.2022 та повноправного членства 14.12.2023. Тому весь план побудований навколо принципу: спочатку цінність на read-only даних, керування — лише після доведеної довіри. При цьому цінність read-only-фази монетизується у грн до увімкнення керування (розд. 7.2), щоб платіж не залежав від керуючих функцій.</w:t>
      </w:r>
    </w:p>
    <w:p/>
    <w:p/>
    <w:p>
      <w:pPr>
        <w:pStyle w:val="Heading2"/>
      </w:pPr>
      <w:r>
        <w:t>2. Модель постачання та зв'язок із фазами</w:t>
      </w:r>
    </w:p>
    <w:p/>
    <w:p>
      <w:r>
        <w:t>Дорожня карта застосовна до обох комерційних моделей (деталі — у Комерційній пропозиції, Annex):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Модель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Склад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Вартість (Повна / MVP)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Логіка впровадження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Модель A (база — три самостійні продукти)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Продукт №1 — Система управління ризиками безпеки та прогнозування загроз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$26.9М / MVP $10.8М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Самостійний проект (своє ТЗ/бюджет/допсоглашення), працює повністю без №2 і №3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Продукт №2 — Система виявлення зловживань на енергоринку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$15.1М / MVP $6.0М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Самостійний проект, працює повністю без №1 і №3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Продукт №3 — Прогноз технологічних втрат передачі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$9.1М / MVP $3.7М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Самостійний проект, найбільш готовий (база обленерго), працює самостійно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Σ трьох продуктів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$51.1М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Виконуються в порядку пріоритету 1→2→3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Модель B (опціональна платформа — горизонт)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Єдина платформа/шина/агент 24/7, 3 продукти під капотом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$38.4М (−25% від $51.1М)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Land-and-expand: розкривається ПІСЛЯ доведення цінності Продукту №1; перспектива оптимізації, а не умова</w:t>
            </w:r>
          </w:p>
        </w:tc>
      </w:tr>
    </w:tbl>
    <w:p/>
    <w:p/>
    <w:p>
      <w:r>
        <w:t>Припущення: база — це три самостійні продукти (Модель A), кожен зі своїм ТЗ, бюджетом і допсоглашенням; робляться всі три в порядку пріоритету 1→2→3. Подальший календар ілюструє наскрізний сценарій. Модель B (платформа) — це вибір оптимізації ПІСЛЯ доведення цінності Продукту №1 (economy of scope, −25%), а не обов'язкова умова старту. Для Моделі A продукти можуть виконуватися як послідовно, так і паралельними треками з тими ж gate-критеріями.</w:t>
      </w:r>
    </w:p>
    <w:p/>
    <w:p>
      <w:pPr>
        <w:pStyle w:val="Heading3"/>
      </w:pPr>
      <w:r>
        <w:t>2.1 Базові строки компонентів і чому платформа = 18, а не сума компонентів</w:t>
      </w:r>
    </w:p>
    <w:p/>
    <w:p>
      <w:r>
        <w:t>Нижче — строки тривалості робіт над кожним компонентом (з ТЗ та кошторису, Annexes). Це тривалість розробки компонента, а не його дата завершення в наскрізному календарі: компоненти стартують у різні моменти і їхня готовність ще не означає готовність платформи.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Компонент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MVP (тривалість)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Повна версія (тривалість)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Продукт №1 (A1) — Система управління ризиками безпеки та прогнозування загроз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6 міс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14 міс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Продукт №2 (A2) — Система виявлення зловживань на енергоринку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4 міс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10 міс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Продукт №3 (A3) — Прогноз технологічних втрат передачі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3 міс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8 міс</w:t>
            </w:r>
          </w:p>
        </w:tc>
      </w:tr>
    </w:tbl>
    <w:p/>
    <w:p/>
    <w:p>
      <w:pPr>
        <w:ind w:left="454"/>
      </w:pPr>
      <w:r>
        <w:rPr>
          <w:i/>
        </w:rPr>
        <w:t>Чому платформа = 18 міс, а компоненти добігають раніше. 18 місяців визначає не сума і не найдовший компонент, а наскрізна інтеграція + операційна валідація + acceptance: пілот у shadow mode (4 міс), масштабування на повний периметр (3 міс) і фінальний acceptance повної версії (2 міс) виконуються після того, як компоненти технічно готові. A1 «Повна» (14 міс тривалості розробки) стартує не з нуля окремого треку, а нарощується поверх A1 MVP усередині платформи; її технічна готовність припадає приблизно на міс 14, після чого йдуть масштабування і acceptance (міс 14→18). Тобто вікно міс 13–18 — це не простій, а саме інтеграція, валідація диспетчером і прийняття, які не можна паралелити з розробкою. Наскрізний Gantt у розд. 4 показує це по датах; розбіжності «Повна 16–18 vs A1 14» немає — 14 це тривалість розробки A1, 18 це дата acceptance всієї платформи.</w:t>
      </w:r>
    </w:p>
    <w:p/>
    <w:p/>
    <w:p>
      <w:pPr>
        <w:pStyle w:val="Heading2"/>
      </w:pPr>
      <w:r>
        <w:t>3. Фази та milestone</w:t>
      </w:r>
    </w:p>
    <w:p/>
    <w:p>
      <w:r>
        <w:t>Впровадження розбито на чотири фази. Перехід між фазами — лише через gate go/no-go (розділ 7).</w:t>
      </w:r>
    </w:p>
    <w:p/>
    <w:p>
      <w:pPr>
        <w:pStyle w:val="Heading3"/>
      </w:pPr>
      <w:r>
        <w:t>Фаза 0 — Мобілізація та доступ (Місяці 0–2, перекривається з Фазою 1; ризик — див. 3.1)</w:t>
      </w:r>
    </w:p>
    <w:p/>
    <w:p>
      <w:r>
        <w:t>Мета: зняти всі блокери даних і середовищ до того, як вони стануть критичним шляхом.</w:t>
      </w:r>
    </w:p>
    <w:p/>
    <w:p>
      <w:pPr>
        <w:pStyle w:val="ListBullet"/>
      </w:pPr>
      <w:r>
        <w:t>Юридичне оформлення доступу, NDA, узгодження clearance для команди постачальника (множник clearance x1.18 врахований у вартості).</w:t>
      </w:r>
    </w:p>
    <w:p>
      <w:pPr>
        <w:pStyle w:val="ListBullet"/>
      </w:pPr>
      <w:r>
        <w:t>Розгортання ізольованого dev/test-середовища на стороні Укренерго або у захищеному периметрі.</w:t>
      </w:r>
    </w:p>
    <w:p>
      <w:pPr>
        <w:pStyle w:val="ListBullet"/>
      </w:pPr>
      <w:r>
        <w:t>Налагодження каналів даних (read-only): SCADA/EMS-телеметрія, ринкові дані, топологія мережі.</w:t>
      </w:r>
    </w:p>
    <w:p>
      <w:pPr>
        <w:pStyle w:val="ListBullet"/>
      </w:pPr>
      <w:r>
        <w:t>Узгодження архітектури безпеки (Annex «Безпека»), мапінг на Catalogue of Measures (28.06.2017), категорія «IT including Cybersecurity».</w:t>
      </w:r>
    </w:p>
    <w:p/>
    <w:p>
      <w:r>
        <w:t>Milestone 0.1: підписаний Data Access Agreement + працюючий read-only канал тестових даних.</w:t>
      </w:r>
    </w:p>
    <w:p/>
    <w:p>
      <w:pPr>
        <w:pStyle w:val="Heading3"/>
      </w:pPr>
      <w:r>
        <w:t>3.1 Реалістичні строки доступу до даних і план Б</w:t>
      </w:r>
    </w:p>
    <w:p/>
    <w:p>
      <w:r>
        <w:t>Доступ до даних — абсолютний gating-фактор (розд. 5, 8), і саме тут план найвразливіший: clearance і Data Access Agreement у воєнного держоператора оформлюються не за 0–2 міс, а реалістично 2–4 місяці й довше (узгодження зі службою кібербезпеки, юридичним блоком, періодичні паузи через воєнний режим). Тому закладено діапазон, а не фіксовані 0–2 міс, і явний fallback, щоб бюрократична пауза не зупиняла критичний шлях: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Сценарій доступу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Реалістичний строк DAA/clearance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Дія за планом Б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Оптимістичний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~1–2 міс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Старт Фази 1 на реальних знеособлених read-only даних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Базовий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~2–4 міс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Паралельно зі Фазою 0 — старт на історичних/знеособлених даних і вузькому пілотному периметрі (один регіон/підстанційний кластер)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Песимістичний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&gt;4 міс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Робота на синтетичних/історичних наборах (генератор синтетичної мережі вже є в демо) + обмежений периметр; перехід на live-дані одразу після підписання DAA</w:t>
            </w:r>
          </w:p>
        </w:tc>
      </w:tr>
    </w:tbl>
    <w:p/>
    <w:p/>
    <w:p>
      <w:pPr>
        <w:ind w:left="454"/>
      </w:pPr>
      <w:r>
        <w:rPr>
          <w:i/>
        </w:rPr>
        <w:t>Сенс плану Б: ядро платформи, A3-розрахунок і двійник A1 розробляються і демонструються на знеособлених/історичних/синтетичних даних, тому затримка DAA зсуває лише момент переходу на live-телеметрію, а не весь календар. Це знімає ситуацію «план падає при першій бюрократичній паузі».</w:t>
      </w:r>
    </w:p>
    <w:p/>
    <w:p>
      <w:pPr>
        <w:pStyle w:val="Heading3"/>
      </w:pPr>
      <w:r>
        <w:t>Фаза 1 — MVP платформи (Місяці 0–9)</w:t>
      </w:r>
    </w:p>
    <w:p/>
    <w:p>
      <w:r>
        <w:t>Мета: довести цінність на реальних (за наявності DAA) або знеособлених/історичних даних Укренерго, у read-only режимі, без втручання в керування.</w:t>
      </w:r>
    </w:p>
    <w:p/>
    <w:p>
      <w:pPr>
        <w:pStyle w:val="ListBullet"/>
      </w:pPr>
      <w:r>
        <w:t>Ядро продукту. У Моделі A кожен продукт має своє власне ядро (дані, модель, обчислювальний контур) і працює самостійно; спільне ядро (єдина шина даних, модель топології) — це Модель B (опціонально).</w:t>
      </w:r>
    </w:p>
    <w:p>
      <w:pPr>
        <w:pStyle w:val="ListBullet"/>
      </w:pPr>
      <w:r>
        <w:t>Продукт №3 (A3) MVP (3 міс) — найшвидший вимірюваний результат: розрахунок втрат на реальній мережі. Працює самостійно, незалежно від №1 і №2.</w:t>
      </w:r>
    </w:p>
    <w:p>
      <w:pPr>
        <w:pStyle w:val="ListBullet"/>
      </w:pPr>
      <w:r>
        <w:t>Продукт №1 (A1) MVP (6 міс) — режим спостереження; за умови Моделі B — перевірка наскрізного сценарію A1→Шина→A2→A3.</w:t>
      </w:r>
    </w:p>
    <w:p>
      <w:pPr>
        <w:pStyle w:val="ListBullet"/>
      </w:pPr>
      <w:r>
        <w:t>Продукт №2 (A2) MVP (4 міс) — базовий нагляд за ринком під REMIT.</w:t>
      </w:r>
    </w:p>
    <w:p/>
    <w:p>
      <w:r>
        <w:t>Milestone 1.1 (міс 3): A3 видає верифіковану цифру втрат, що збігається з ручним розрахунком Укренерго в межах узгодженого допуску. (Це формальна верифікація; ранній попередній зріз — на День 30–60, розд. 9, без статусу «верифіковано».)</w:t>
      </w:r>
    </w:p>
    <w:p>
      <w:r>
        <w:t>Milestone 1.2 (міс 6): двійник A1 відтворює реальний режим мережі; контекст ємності ENTSO-E (1200→1700 МВт, +500 МВт, орієнтир від 28.11.2023) присутній у моделі як ілюстрація напрямку (не монетизований у ROI — див. ROI-Annex).</w:t>
      </w:r>
    </w:p>
    <w:p>
      <w:r>
        <w:t>Milestone 1.3 (міс 9, лише для Моделі B / опціонально): якщо Замовник обирає інтеграційну шину (горизонт land-and-expand), наскрізний сценарій A1→A2→A3 працює на реальних даних у read-only. Для базової Моделі A (три самостійні продукти) цей milestone не потрібен — кожен продукт здає власні результати незалежно.</w:t>
      </w:r>
    </w:p>
    <w:p/>
    <w:p>
      <w:pPr>
        <w:pStyle w:val="Heading3"/>
      </w:pPr>
      <w:r>
        <w:t>Фаза 2 — Пілот (Місяці 9–13)</w:t>
      </w:r>
    </w:p>
    <w:p/>
    <w:p>
      <w:r>
        <w:t>Мета: експлуатація MVP паралельно з чинними процесами (shadow mode) на обмеженому периметрі мережі/ринку.</w:t>
      </w:r>
    </w:p>
    <w:p/>
    <w:p>
      <w:pPr>
        <w:pStyle w:val="ListBullet"/>
      </w:pPr>
      <w:r>
        <w:t>Робота «пліч-о-пліч» із чинними інструментами диспетчера — без переведення рішень на платформу.</w:t>
      </w:r>
    </w:p>
    <w:p>
      <w:pPr>
        <w:pStyle w:val="ListBullet"/>
      </w:pPr>
      <w:r>
        <w:t>Збір метрик точності, валідація розрахунків A3, сигналів A2 (комплаєнс REMIT).</w:t>
      </w:r>
    </w:p>
    <w:p>
      <w:pPr>
        <w:pStyle w:val="ListBullet"/>
      </w:pPr>
      <w:r>
        <w:t>Фіксація монетизованої цінності read-only-фази у грн (виявлені втрати A3, спіймані потенційні REMIT-порушення A2, уникнені помилки) — баз для самоокупності платежу до увімкнення керування (розд. 7.2).</w:t>
      </w:r>
    </w:p>
    <w:p>
      <w:pPr>
        <w:pStyle w:val="ListBullet"/>
      </w:pPr>
      <w:r>
        <w:t>Навчання першої когорти диспетчерів і аналітиків ринку.</w:t>
      </w:r>
    </w:p>
    <w:p/>
    <w:p>
      <w:r>
        <w:t>Milestone 2.1: пілот закрито з підтвердженою точністю та прийнятим звітом валідації від Головного диспетчера; зафіксована накопичена цінність read-only у грн.</w:t>
      </w:r>
    </w:p>
    <w:p/>
    <w:p>
      <w:pPr>
        <w:pStyle w:val="Heading3"/>
      </w:pPr>
      <w:r>
        <w:t>Фаза 3 — Масштабування (Місяці 13–16)</w:t>
      </w:r>
    </w:p>
    <w:p/>
    <w:p>
      <w:r>
        <w:t>Мета: розширення на повний периметр мережі та ринку, підготовка до повної версії.</w:t>
      </w:r>
    </w:p>
    <w:p/>
    <w:p>
      <w:pPr>
        <w:pStyle w:val="ListBullet"/>
      </w:pPr>
      <w:r>
        <w:t>Масштабування двійника A1 на всю мережу; повне покриття ринку A2.</w:t>
      </w:r>
    </w:p>
    <w:p>
      <w:pPr>
        <w:pStyle w:val="ListBullet"/>
      </w:pPr>
      <w:r>
        <w:t>Запровадження агентного контуру 24/7 у режимі рекомендацій (human-in-the-loop, розд. 12).</w:t>
      </w:r>
    </w:p>
    <w:p>
      <w:pPr>
        <w:pStyle w:val="ListBullet"/>
      </w:pPr>
      <w:r>
        <w:t>Інтеграція в робочі регламенти диспетчерської служби.</w:t>
      </w:r>
    </w:p>
    <w:p/>
    <w:p>
      <w:r>
        <w:t>Milestone 3.1: платформа в продуктиві як штатний інструмент підтримки рішень (decision support), керування лишається за людиною.</w:t>
      </w:r>
    </w:p>
    <w:p/>
    <w:p>
      <w:pPr>
        <w:pStyle w:val="Heading3"/>
      </w:pPr>
      <w:r>
        <w:t>Фаза 4 — Повна версія (Місяці 16–18)</w:t>
      </w:r>
    </w:p>
    <w:p/>
    <w:p>
      <w:r>
        <w:t>Мета: повна функціональність усіх трьох вертикалей, передача в експлуатацію.</w:t>
      </w:r>
    </w:p>
    <w:p/>
    <w:p>
      <w:pPr>
        <w:pStyle w:val="ListBullet"/>
      </w:pPr>
      <w:r>
        <w:t>Зведення в платформу повних версій A1/A2/A3 (їхня технічна готовність — приблизно міс 14/13/12 від старту відповідно, див. Gantt 4), фінальна наскрізна інтеграція й acceptance.</w:t>
      </w:r>
    </w:p>
    <w:p>
      <w:pPr>
        <w:pStyle w:val="ListBullet"/>
      </w:pPr>
      <w:r>
        <w:t>Завершення передачі знань, перехід на supported operations.</w:t>
      </w:r>
    </w:p>
    <w:p/>
    <w:p>
      <w:r>
        <w:t>Milestone 4.1: acceptance повної версії; Укренерго експлуатує платформу самостійно за підтримки постачальника.</w:t>
      </w:r>
    </w:p>
    <w:p/>
    <w:p/>
    <w:p>
      <w:pPr>
        <w:pStyle w:val="Heading2"/>
      </w:pPr>
      <w:r>
        <w:t>4. Наскрізний Gantt із реальними датами компонентів (Модель B)</w:t>
      </w:r>
    </w:p>
    <w:p/>
    <w:p>
      <w:r>
        <w:t>Один наскрізний календар. Кожен компонент показано від його дати старту до дати технічної готовності; окремо — інтеграція/валідація/acceptance, що визначають 18 міс. Місяці по горизонталі.</w:t>
      </w:r>
    </w:p>
    <w:p/>
    <w:p>
      <w:r>
        <w:t>`</w:t>
      </w:r>
    </w:p>
    <w:p>
      <w:r>
        <w:t>Місяць:           0   1   2   3   4   5   6   7   8   9  10  11  12  13  14  15  16  17  18</w:t>
      </w:r>
    </w:p>
    <w:p>
      <w: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r>
        <w:t>Ф0 Доступ/clearance ███▓▓▓.......                            (1–4 міс, діапазон 3.1; ▓=ризик-хвіст)</w:t>
      </w:r>
    </w:p>
    <w:p>
      <w: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r>
        <w:t>Ядро платформи      ░████████.                              старт 0 → готове ~міс 8</w:t>
      </w:r>
    </w:p>
    <w:p>
      <w:r>
        <w:t>A3 MVP (3)            ░███.                                  старт 1 → готове ~міс 4</w:t>
      </w:r>
    </w:p>
    <w:p>
      <w:r>
        <w:t>A1 MVP (6)            ░██████.                               старт 1 → готове ~міс 7</w:t>
      </w:r>
    </w:p>
    <w:p>
      <w:r>
        <w:t>A2 MVP (4)             ░████.                                старт 2 → готове ~міс 6</w:t>
      </w:r>
    </w:p>
    <w:p>
      <w:r>
        <w:t>Наскрізний сценарій                ████.                     інтеграція MVP → міс 9  ◀ G1</w:t>
      </w:r>
    </w:p>
    <w:p>
      <w: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r>
        <w:t>Ф2 Пілот (shadow)                       ████████.           міс 9 → 13              ◀ G2</w:t>
      </w:r>
    </w:p>
    <w:p>
      <w: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r>
        <w:t>A3 Повна (8)              ░░░░████████████.                  старт ~2 → готове ~міс 12</w:t>
      </w:r>
    </w:p>
    <w:p>
      <w:r>
        <w:t>A2 Повна (10)              ░░░██████████████.                старт ~3 → готове ~міс 13</w:t>
      </w:r>
    </w:p>
    <w:p>
      <w:r>
        <w:t>A1 Повна (14)             ░░██████████████████████.          старт ~1 → готове ~міс 14</w:t>
      </w:r>
    </w:p>
    <w:p>
      <w:r>
        <w:t>Ф3 Масштабування                                ██████.     міс 13 → 16            ◀ G3</w:t>
      </w:r>
    </w:p>
    <w:p>
      <w: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r>
        <w:t>Ф4 Інтеграція+acceptance                              ████. міс 16 → 18            ◀ G4</w:t>
      </w:r>
    </w:p>
    <w:p>
      <w: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r>
        <w:t xml:space="preserve">                                                            ▲ 18 міс визначає acceptance,</w:t>
      </w:r>
    </w:p>
    <w:p>
      <w:r>
        <w:t xml:space="preserve">                                                              а НЕ сума/найдовший компонент</w:t>
      </w:r>
    </w:p>
    <w:p>
      <w:r>
        <w:t>`</w:t>
      </w:r>
    </w:p>
    <w:p/>
    <w:p>
      <w:r>
        <w:t>Що читати з Gantt:</w:t>
      </w:r>
    </w:p>
    <w:p>
      <w:pPr>
        <w:pStyle w:val="ListBullet"/>
      </w:pPr>
      <w:r>
        <w:t>A1 «Повна» (14 міс тривалості) технічно готова ~міс 14 — це не дата завершення платформи. Після неї масштабування (G3, 13→16) і acceptance (G4, 16→18).</w:t>
      </w:r>
    </w:p>
    <w:p>
      <w:pPr>
        <w:pStyle w:val="ListBullet"/>
      </w:pPr>
      <w:r>
        <w:t>Вікно міс 13–18 заповнене явно: масштабування на повний периметр + наскрізна інтеграція повних версій + операційна валідація + acceptance. Це не буфер і не простій.</w:t>
      </w:r>
    </w:p>
    <w:p>
      <w:pPr>
        <w:pStyle w:val="ListBullet"/>
      </w:pPr>
      <w:r>
        <w:t>18, а не 16: масштабування завершує продуктивний decision-support (міс 16, G3), а додаткові 2 міс (16→18) — це фінальний acceptance повної функціональності всіх трьох вертикалей і передача в самостійну експлуатацію. Якщо Правління приймає commissioning повної версії спрощено, нижня межа — 16 міс; повний acceptance з передачею знань — 18 міс.</w:t>
      </w:r>
    </w:p>
    <w:p/>
    <w:p/>
    <w:p>
      <w:pPr>
        <w:pStyle w:val="Heading2"/>
      </w:pPr>
      <w:r>
        <w:t>5. Критичний шлях (словесно)</w:t>
      </w:r>
    </w:p>
    <w:p/>
    <w:p>
      <w:r>
        <w:t>Базова Модель A (три самостійні продукти). Критичний шлях кожного продукту незалежний і проходить через ланцюг доступ до даних → власне ядро продукту → MVP → пілот → масштабування → acceptance. Продукти не залежать один від одного; найшвидшу віддачу дає Продукт №3 (3 міс MVP), герой-предмет пропозиції — Продукт №1.</w:t>
      </w:r>
    </w:p>
    <w:p/>
    <w:p>
      <w:pPr>
        <w:pStyle w:val="ListNumber"/>
      </w:pPr>
      <w:r>
        <w:t>Доступ до даних (Фаза 0) — абсолютний gating-фактор для кожного продукту, але з планом Б (розд. 3.1): затримка DAA зсуває лише перехід на live-дані, а не старт розробки на знеособлених/історичних/синтетичних наборах.</w:t>
      </w:r>
    </w:p>
    <w:p>
      <w:pPr>
        <w:pStyle w:val="ListNumber"/>
      </w:pPr>
      <w:r>
        <w:t>Власне ядро продукту — дані, модель і обчислювальний контур кожного продукту окремо; жоден продукт не чекає на інші.</w:t>
      </w:r>
    </w:p>
    <w:p>
      <w:pPr>
        <w:pStyle w:val="ListNumber"/>
      </w:pPr>
      <w:r>
        <w:t>MVP продукту → пілот → масштабування → acceptance — не паралеляться всередині одного продукту, бо потребують завершеного MVP, операційної валідації й прийняття; саме вони формують горизонт кожного продукту.</w:t>
      </w:r>
    </w:p>
    <w:p/>
    <w:p>
      <w:r>
        <w:t>Опціонально (Модель B — горизонт land-and-expand). Якщо Замовник згодом обирає інтеграційну шину, додається спільне ядро (шина даних + модель топології) і наскрізний сценарій A1→A2→A3 — це окремий критичний шлях понад трьома готовими продуктами, а не умова їх роботи.</w:t>
      </w:r>
    </w:p>
    <w:p/>
    <w:p/>
    <w:p>
      <w:pPr>
        <w:pStyle w:val="Heading2"/>
      </w:pPr>
      <w:r>
        <w:t>6. Команда і ролі (RACI)</w:t>
      </w:r>
    </w:p>
    <w:p/>
    <w:p>
      <w:r>
        <w:t>R — виконує, A — відповідальний (приймає), C — консультує, I — інформується.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b/>
                <w:sz w:val="20"/>
              </w:rPr>
              <w:t>Активність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Постачальник (PM/Архітектор/Data/ML/Sec)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Укренерго PMO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Укренерго CTO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Головний диспетчер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Служба кібербезпеки УЕ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Доступ до даних / середовища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R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C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Архітектура платформи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R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I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C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Безпека / clearance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R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I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Розробка MVP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R/A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I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I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I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Валідація розрахунків (A3/A1)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R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I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Сигнали нагляду A2 (REMIT)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R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I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I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Пілот (shadow mode)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R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C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Агентні рекомендації (HITL/аудит)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R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C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Перехід у продуктив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R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C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Передача знань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R/A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C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Go/No-Go рішення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R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C</w:t>
            </w:r>
          </w:p>
        </w:tc>
      </w:tr>
    </w:tbl>
    <w:p/>
    <w:p/>
    <w:p>
      <w:r>
        <w:t>Що критично потрібно від Укренерго (без цього старт неможливий):</w:t>
      </w:r>
    </w:p>
    <w:p>
      <w:pPr>
        <w:pStyle w:val="ListBullet"/>
      </w:pPr>
      <w:r>
        <w:t>Data Owner / спонсор з боку CTO — рішення щодо доступу до SCADA/EMS і топології.</w:t>
      </w:r>
    </w:p>
    <w:p>
      <w:pPr>
        <w:pStyle w:val="ListBullet"/>
      </w:pPr>
      <w:r>
        <w:t>Виділений PMO-координатор — єдина точка узгоджень і ескалацій.</w:t>
      </w:r>
    </w:p>
    <w:p>
      <w:pPr>
        <w:pStyle w:val="ListBullet"/>
      </w:pPr>
      <w:r>
        <w:t>Призначений представник диспетчерської служби — приймає валідацію та go/no-go на пілот/продуктив.</w:t>
      </w:r>
    </w:p>
    <w:p>
      <w:pPr>
        <w:pStyle w:val="ListBullet"/>
      </w:pPr>
      <w:r>
        <w:t>Контакт служби кібербезпеки — clearance, периметр, відповідність Catalogue of Measures.</w:t>
      </w:r>
    </w:p>
    <w:p/>
    <w:p>
      <w:r>
        <w:t>Припущення: склад команди постачальника та трудовитрати деталізовані в Кошторисі й Обґрунтуванні вартості (Annexes); overhead-множник x2.75 і воєнний x1.15 враховані.</w:t>
      </w:r>
    </w:p>
    <w:p/>
    <w:p/>
    <w:p>
      <w:pPr>
        <w:pStyle w:val="Heading2"/>
      </w:pPr>
      <w:r>
        <w:t>7. Gate-критерії Go / No-Go, оплата та право зупинки</w:t>
      </w:r>
    </w:p>
    <w:p/>
    <w:p>
      <w:r>
        <w:t>Перехід дозволено лише за виконання всіх критеріїв gate. Рішення приймають PMO (R) + CTO та Головний диспетчер (A).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Gate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Між фазами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Критерії Go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G0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0 → 1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Підписаний Data Access Agreement (або погоджений старт на знеособлених/історичних даних за планом Б); працюючий read-only канал; узгоджена архітектура безпеки; clearance команди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G1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1 → 2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Наскрізний сценарій A1→A2→A3 працює на реальних даних; A3 збігається з ручним розрахунком у допуску; прийнятий звіт MVP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G2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2 → 3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Пілот у shadow mode підтвердив точність; звіт валідації прийнято Головним диспетчером; зафіксовано монетизовану цінність read-only; немає відкритих критичних інцидентів безпеки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G3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3 → 4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Платформа стабільна в продуктиві як decision support ≥ 4 тижні; регламенти оновлено; перша когорта навчена; протокол HITL і audit-trail агентних рекомендацій діють (розд. 12)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G4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4 → експлуатація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Acceptance повної версії; передача знань завершена; команда УЕ працює самостійно</w:t>
            </w:r>
          </w:p>
        </w:tc>
      </w:tr>
    </w:tbl>
    <w:p/>
    <w:p/>
    <w:p>
      <w:r>
        <w:t>Принцип No-Go: будь-який невиконаний критерій безпеки або провал валідації диспетчером = автоматичний No-Go, незалежно від готовності решти. Керуючі функції не вмикаються до проходження G3.</w:t>
      </w:r>
    </w:p>
    <w:p/>
    <w:p>
      <w:pPr>
        <w:pStyle w:val="Heading3"/>
      </w:pPr>
      <w:r>
        <w:t>7.1 Прив'язка оплати до gate та право УЕ на зупинку</w:t>
      </w:r>
    </w:p>
    <w:p/>
    <w:p>
      <w:r>
        <w:t>Оплата прив'язана до прийнятих фаз, а не до календаря. Частки нижче — рамкові, для узгодження; точні суми фіксуються в Комерційній пропозиції (Annex) і не виводяться апріорно. Принцип: УЕ платить лише за прийняту на gate фазу.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Платіжний milestone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Прив'язка до gate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Орієнтовна частка бюджету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Що покриває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Аванс мобілізації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старт Ф0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~10%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clearance, середовище, налагодження доступу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Платіж 1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прийняття на G1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~25%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MVP платформи, наскрізний сценарій read-only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Платіж 2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прийняття на G2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~25%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пілот shadow mode, валідований звіт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Платіж 3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прийняття на G3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~20%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продуктивний decision support, масштабування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Фінальний платіж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прийняття на G4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~20%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acceptance повної версії, передача знань</w:t>
            </w:r>
          </w:p>
        </w:tc>
      </w:tr>
    </w:tbl>
    <w:p/>
    <w:p/>
    <w:p>
      <w:r>
        <w:t>Право зупинки (termination for convenience). УЕ має право зупинити проект на будь-якому gate з такими фінансовими наслідками:</w:t>
      </w:r>
    </w:p>
    <w:p>
      <w:pPr>
        <w:pStyle w:val="ListBullet"/>
      </w:pPr>
      <w:r>
        <w:t>Оплачуються лише прийняті фази (gate, які пройдено) + фактичні незворотні витрати поточної фази, підтверджені актами.</w:t>
      </w:r>
    </w:p>
    <w:p>
      <w:pPr>
        <w:pStyle w:val="ListBullet"/>
      </w:pPr>
      <w:r>
        <w:t>Штрафу за відмову від подальших фаз немає — невиконані фази не оплачуються.</w:t>
      </w:r>
    </w:p>
    <w:p>
      <w:pPr>
        <w:pStyle w:val="ListBullet"/>
      </w:pPr>
      <w:r>
        <w:t>No-Go на G1 або G2: УЕ сплачує лише пройдені до цього gate фази (аванс + відповідний платіж); подальші платежі (Платежі 3, фінальний) не виникають. Тобто максимальний фінансовий ризик Правління до доведення цінності обмежений авансом + Платежем 1 (орієнтовно ~35% бюджету), а не всією сумою $38.4М.</w:t>
      </w:r>
    </w:p>
    <w:p/>
    <w:p>
      <w:pPr>
        <w:pStyle w:val="Heading3"/>
      </w:pPr>
      <w:r>
        <w:t>7.2 Монетизація read-only / decision-support фази (цінність до G3)</w:t>
      </w:r>
    </w:p>
    <w:p/>
    <w:p>
      <w:r>
        <w:t>Заперечення «16 місяців система лише спостерігає — за що платимо до увімкнення керування» закрите тим, що read-only-фаза дає вимірювану цінність у грн ще до керуючих функцій. Її фіксує пілот (G2) і вона формує самоокупність платежів до G3 незалежно від керування: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Джерело цінності read-only/decision-support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Як вимірюється у грн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Методика — звідки береться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Виявлені/знижені технологічні втрати (A3)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% зниження × база компенсації втрат у тарифі ~11 млрд грн/рік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ROI-Annex, базовий сценарій A3 (зниження 2% → ~190 млн грн/рік)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Спіймані потенційні REMIT-порушення (A2)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уникнені штрафи + регуляторний ризик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ROI-Annex, рамка A2 (комплаєнс, гранична межа штрафу за маніпуляції до 459 млн грн)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Уникнені помилки / ранні аномалії (A1, decision support)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частка відведеного збитку обладнанню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ROI-Annex, ймовірнісна модель A1 (частота×тяжкість×відведення)</w:t>
            </w:r>
          </w:p>
        </w:tc>
      </w:tr>
    </w:tbl>
    <w:p/>
    <w:p/>
    <w:p>
      <w:pPr>
        <w:ind w:left="454"/>
      </w:pPr>
      <w:r>
        <w:rPr>
          <w:i/>
        </w:rPr>
        <w:t>Висновок для Правління: платіж до увімкнення керування (Платежі 1–3) обґрунтований цінністю самого decision support — виявлені втрати, спіймані порушення, уникнені помилки — а не обіцянкою майбутнього керування. Цифри й припущення — у ROI-Annex (розд. 8.1 цього документа дає короткий зведений вигляд).</w:t>
      </w:r>
    </w:p>
    <w:p/>
    <w:p/>
    <w:p>
      <w:pPr>
        <w:pStyle w:val="Heading2"/>
      </w:pPr>
      <w:r>
        <w:t>8. Залежності та передумови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Передумова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Тип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Відповідальний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Критичність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Read-only доступ до SCADA/EMS-телеметрії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Дані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УЕ CTO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Блокуюча (критичний шлях; план Б — розд. 3.1)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Модель топології мережі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Дані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УЕ CTO / диспетчерська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Блокуюча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Ринкові дані для A2 (REMIT)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Дані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УЕ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Висока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Ізольоване dev/test-середовище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Середовище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УЕ + постачальник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Блокуюча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Clearance команди постачальника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Організаційна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УЕ кібербезпека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Блокуюча (реалістично 2–4 міс — розд. 3.1)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Відповідність Catalogue of Measures (IT/Cyber)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Регуляторна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УЕ кібербезпека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Висока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Призначені власники ролей (розділ 6)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Організаційна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УЕ PMO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Блокуюча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Підтверджений baseline втрат / показників ДО старту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Дані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УЕ CTO / фінблок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Блокуюча для ROI (розд. 8.1)</w:t>
            </w:r>
          </w:p>
        </w:tc>
      </w:tr>
    </w:tbl>
    <w:p/>
    <w:p/>
    <w:p>
      <w:r>
        <w:t>Припущення: конкретний перелік потоків даних, форматів і протоколів узгоджується за документом «Запит даних» (Annex); технічні деталі середовищ — у «Технічній концепції» (Annex).</w:t>
      </w:r>
    </w:p>
    <w:p/>
    <w:p>
      <w:pPr>
        <w:pStyle w:val="Heading3"/>
      </w:pPr>
      <w:r>
        <w:t>8.1 Методика й baseline ROI (зведено; повна версія — ROI-Annex)</w:t>
      </w:r>
    </w:p>
    <w:p/>
    <w:p>
      <w:r>
        <w:t>Цифри окупності у цьому документі не маркетингова заявка, а вихід ROI-Annex. Нижче — короткий зведений вигляд із прямим посиланням; ключові припущення позначено явно, і baseline підтверджує УЕ ДО старту (передумова в розд. 8).</w:t>
      </w:r>
    </w:p>
    <w:p/>
    <w:p>
      <w:pPr>
        <w:pStyle w:val="ListBullet"/>
      </w:pPr>
      <w:r>
        <w:t>Базовий рівень (baseline) втрат A3: база компенсації технологічних втрат у тарифі ~11 млрд грн/рік [потребує підтвердження номером постанови НКРЕКП — підставляє УЕ]. Керованим вважається зниження на 2% відносно (експертна аналітична ціль) → ~190 млн грн/рік.</w:t>
      </w:r>
    </w:p>
    <w:p>
      <w:pPr>
        <w:pStyle w:val="ListBullet"/>
      </w:pPr>
      <w:r>
        <w:t>Сценарії A3: песимістичний 1% → ~95 млн грн/рік (окупність ~4.0 р); базовий 2% → ~190 млн грн/рік (~2.0 р); оптимістичний 4% → ~380 млн грн/рік (~1.0 р).</w:t>
      </w:r>
    </w:p>
    <w:p>
      <w:pPr>
        <w:pStyle w:val="ListBullet"/>
      </w:pPr>
      <w:r>
        <w:t>A1 рахується ймовірнісно (частота × тяжкість × відведення), не «одна подія = щорічна вигода»; baseline тяжкості — 4 000 млн грн (нижня межа події 22.03.2024). Базовий сценарій ~600 млн грн/рік. Стійкість залежить від частоти ≥1 події/рік — це явна межа.</w:t>
      </w:r>
    </w:p>
    <w:p>
      <w:pPr>
        <w:pStyle w:val="ListBullet"/>
      </w:pPr>
      <w:r>
        <w:t>A2 — рамка комплаєнсу, прямий NPV від'ємний за всіх реалістичних ставок (12/18/24%); продається через REMIT, не через ROI.</w:t>
      </w:r>
    </w:p>
    <w:p>
      <w:pPr>
        <w:pStyle w:val="ListBullet"/>
      </w:pPr>
      <w:r>
        <w:t>Хто підтверджує baseline: фактичний % технологічних втрат і номер постанови НКРЕКП підставляє УЕ CTO / фінблок ДО старту (передумова, розд. 8). Доти базою A3 є сума компенсації 11 млрд грн, а не оспорюваний %.</w:t>
      </w:r>
    </w:p>
    <w:p/>
    <w:p>
      <w:pPr>
        <w:ind w:left="454"/>
      </w:pPr>
      <w:r>
        <w:rPr>
          <w:i/>
        </w:rPr>
        <w:t>Раніше в тексті фігурувала готова цифра «190 млн грн/рік, окупність ~2.0 р» без методики. Тепер вона подана як базовий сценарій A3 з ROI-Annex із зазначенням baseline (11 млрд грн), керованого %, трьох сценаріїв і власника baseline. Окремий ROI-драйвер як маркетинговий рядок прибрано — замість нього посилання на методику.</w:t>
      </w:r>
    </w:p>
    <w:p/>
    <w:p/>
    <w:p>
      <w:pPr>
        <w:pStyle w:val="Heading2"/>
      </w:pPr>
      <w:r>
        <w:t>9. Quick wins у перші 90 днів</w:t>
      </w:r>
    </w:p>
    <w:p/>
    <w:p>
      <w:r>
        <w:t>Мета — продемонструвати цінність ще до завершення MVP платформи:</w:t>
      </w:r>
    </w:p>
    <w:p/>
    <w:p>
      <w:pPr>
        <w:pStyle w:val="ListBullet"/>
      </w:pPr>
      <w:r>
        <w:t>День 0–30: запуск read-only каналу даних (або знеособлених/історичних за планом Б); перші зрізи реальної телеметрії в платформі; ілюстративне демо (ukrenergo.radai-1984.dev) як референс цільового стану.</w:t>
      </w:r>
    </w:p>
    <w:p>
      <w:pPr>
        <w:pStyle w:val="ListBullet"/>
      </w:pPr>
      <w:r>
        <w:t>День 30–60: A3 MVP видає попередній (частковий) розрахунок втрат на пілотній ділянці реальної мережі — найшвидший ранній зріз. Це ще не верифікована цифра: формальна верифікація з допуском проти ручного розрахунку Укренерго — це Milestone 1.1 на міс 3.</w:t>
      </w:r>
    </w:p>
    <w:p>
      <w:pPr>
        <w:pStyle w:val="ListBullet"/>
      </w:pPr>
      <w:r>
        <w:t>День 60–90: A3 MVP завершено (3 міс); верифікований розрахунок втрат (Milestone 1.1); перший зріз нагляду A2 за ринком (заготовка під REMIT-комплаєнс); демонстрація PMO/CTO/диспетчеру наскрізного контуру на тестових даних.</w:t>
      </w:r>
    </w:p>
    <w:p/>
    <w:p>
      <w:pPr>
        <w:ind w:left="454"/>
      </w:pPr>
      <w:r>
        <w:rPr>
          <w:i/>
        </w:rPr>
        <w:t>Узгодження з milestone: ранній зріз (День 30–60) — попередній/частковий, без статусу «верифіковано»; верифікація з допуском формально настає на міс 3 (Milestone 1.1). Дві різні події з різними назвами, без суперечності.</w:t>
      </w:r>
    </w:p>
    <w:p/>
    <w:p>
      <w:r>
        <w:t>Сенс quick wins: A3 не на критичному шляху, тому дає ранню перемогу й окупність найшвидше, поки будується A1 (двійник) — фундамент наскрізного сценарію.</w:t>
      </w:r>
    </w:p>
    <w:p/>
    <w:p/>
    <w:p>
      <w:pPr>
        <w:pStyle w:val="Heading2"/>
      </w:pPr>
      <w:r>
        <w:t>10. План передачі знань</w:t>
      </w:r>
    </w:p>
    <w:p/>
    <w:p>
      <w:r>
        <w:t>Передача знань — наскрізний процес, не фінальна фаза.</w:t>
      </w:r>
    </w:p>
    <w:p/>
    <w:p>
      <w:pPr>
        <w:pStyle w:val="ListBullet"/>
      </w:pPr>
      <w:r>
        <w:t>Фаза 0–1: спільна команда (постачальник + інженери УЕ) працює над ядром; інженери УЕ — у контурі з першого дня.</w:t>
      </w:r>
    </w:p>
    <w:p>
      <w:pPr>
        <w:pStyle w:val="ListBullet"/>
      </w:pPr>
      <w:r>
        <w:t>Фаза 2 (пілот): навчання першої когорти — диспетчери (робота з decision support), аналітики ринку (A2/REMIT), інженери (A1/A3).</w:t>
      </w:r>
    </w:p>
    <w:p>
      <w:pPr>
        <w:pStyle w:val="ListBullet"/>
      </w:pPr>
      <w:r>
        <w:t>Фаза 3: оновлення операційних регламентів диспетчерської служби під платформу; «теньове» супроводження агентного контуру 24/7 з HITL і audit-trail (розд. 12).</w:t>
      </w:r>
    </w:p>
    <w:p>
      <w:pPr>
        <w:pStyle w:val="ListBullet"/>
      </w:pPr>
      <w:r>
        <w:t>Фаза 4: повна документація (експлуатаційна, адміністраторська, безпекова); сертифікація внутрішніх адміністраторів УЕ; перехід на модель supported operations.</w:t>
      </w:r>
    </w:p>
    <w:p/>
    <w:p>
      <w:r>
        <w:t>Артефакти передачі: експлуатаційні runbook'и, документація архітектури та безпеки, навчальні матеріали, записи сесій, реєстр відомих обмежень.</w:t>
      </w:r>
    </w:p>
    <w:p/>
    <w:p/>
    <w:p>
      <w:pPr>
        <w:pStyle w:val="Heading2"/>
      </w:pPr>
      <w:r>
        <w:t>11. Зв'язок ризиків із контекстом замовника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  <w:sz w:val="20"/>
              </w:rPr>
              <w:t>Контекст</w:t>
            </w:r>
          </w:p>
        </w:tc>
        <w:tc>
          <w:tcPr>
            <w:tcW w:type="dxa" w:w="4320"/>
          </w:tcPr>
          <w:p>
            <w:r>
              <w:rPr>
                <w:b/>
                <w:sz w:val="20"/>
              </w:rPr>
              <w:t>Вплив на план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Атака 22.03.2024 (90–100 млн EUR ОСП)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Безпека — gating-критерій кожного gate; керування вмикається лише після G3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Чистий збиток 2024 = 37.7 млрд грн; інвестпрограма ~4.36 млрд грн/рік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Quick wins і рання окупність A3/A1 узгоджені з бюджетним циклом; оплата по фазах (7.1) обмежує фінансовий ризик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Зобов'язання ENTSO-E (членство 14.12.2023)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Контекст +500 МВт ємності закладено в A1 як ілюстрація напрямку (не монетизовано)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Catalogue of Measures (28.06.2017)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Відповідність по 4 категоріях відстежується від Фази 0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Воєнний режим, бюрократичні паузи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План Б на знеособлених/історичних/синтетичних даних (3.1) утримує критичний шлях</w:t>
            </w:r>
          </w:p>
        </w:tc>
      </w:tr>
    </w:tbl>
    <w:p/>
    <w:p/>
    <w:p/>
    <w:p>
      <w:pPr>
        <w:pStyle w:val="Heading2"/>
      </w:pPr>
      <w:r>
        <w:t>12. Агентний контур 24/7: human-in-the-loop, відповідальність, аудит</w:t>
      </w:r>
    </w:p>
    <w:p/>
    <w:p>
      <w:r>
        <w:t>Агентний контур вводиться у Фазі 3 виключно в режимі рекомендацій. Для воєнного режиму держоператора визначено:</w:t>
      </w:r>
    </w:p>
    <w:p/>
    <w:p>
      <w:pPr>
        <w:pStyle w:val="ListBullet"/>
      </w:pPr>
      <w:r>
        <w:t>Human-in-the-loop (HITL). Жодна рекомендація автономного агента не виконується автоматично. Будь-яка дія потребує підтвердження живим диспетчером; агент лише пропонує, рішення і відповідальність — за людиною. Керуючі функції не активуються до G3, і навіть після — у режимі підтвердження оператором.</w:t>
      </w:r>
    </w:p>
    <w:p>
      <w:pPr>
        <w:pStyle w:val="ListBullet"/>
      </w:pPr>
      <w:r>
        <w:t>Розмежування відповідальності. Відповідальність за рішення на основі рекомендації несе диспетчер УЕ (рекомендація = вхідні дані, не наказ). Постачальник відповідає за коректність роботи моделі в межах специфікації та SLA; за хибну рекомендацію, що не була відхилена системними перевірками, діє процедура розбору інцидентів (Annex «Безпека»). Жоден агент не має повноважень diспетчера.</w:t>
      </w:r>
    </w:p>
    <w:p>
      <w:pPr>
        <w:pStyle w:val="ListBullet"/>
      </w:pPr>
      <w:r>
        <w:t>Audit-trail. Кожна рекомендація, її вхідні дані, версія моделі, час, дія диспетчера (прийнято/відхилено/змінено) фіксуються у незмінному журналі для пост-аналізу й розбору інцидентів. Журнал — частина acceptance G3.</w:t>
      </w:r>
    </w:p>
    <w:p/>
    <w:p>
      <w:r>
        <w:t>Щодо демо. Уся «референсна цінність» демо на зовнішньому домені radai-1984.dev — ілюстративна, не частина постачання. Перед/під час Фази 0 робоче середовище дублюється/переноситься у захищений периметр УЕ; зовнішнє демо лишається лише як ілюстрація цільового стану і не використовується в операційному контурі. Це закриває питання безпеки й солідності для держоператора.</w:t>
      </w:r>
    </w:p>
    <w:p/>
    <w:p/>
    <w:p>
      <w:pPr>
        <w:pStyle w:val="Heading2"/>
      </w:pPr>
      <w:r>
        <w:t>13. Annexes (вже підготовлені документи)</w:t>
      </w:r>
    </w:p>
    <w:p/>
    <w:p>
      <w:r>
        <w:t>Супровідний лист · Executive Summary · Огляд рішення · Комерційна пропозиція (платіжні milestone, розд. 7.1) · ROI-обґрунтування (методика й baseline, розд. 8.1) · Безпека (HITL, audit-trail, розд. 12) · Досвід · 4× Технічне завдання (ISO/IEC/IEEE 29148) · Кошторис (окремо Модель A і Модель B) · Обґрунтування вартості (70 джерел) · Запит даних · Технічна концепція.</w:t>
      </w:r>
    </w:p>
    <w:p/>
    <w:p>
      <w:pPr>
        <w:ind w:left="454"/>
      </w:pPr>
      <w:r>
        <w:rPr>
          <w:i/>
        </w:rPr>
        <w:t>Демо: https://ukrenergo.radai-1984.dev — ілюстративне, у периметрі постачальника, не частина постачання; для впровадження дублюється у периметр УЕ (розд. 12).</w:t>
      </w:r>
    </w:p>
    <w:p/>
    <w:p/>
    <w:p>
      <w:r>
        <w:t>Підсумок для прийняття рішення: план побудовано так, щоб Укренерго бачив вимірювану цінність уже на 60–90-й день (попередній зріз втрат на День 30–60, верифікований розрахунок A3 на міс 3), не ризикуючи диспетчерським контуром — керуючі функції вмикаються лише після пілоту й операційної валідації (G3). 18 місяців визначає acceptance повної версії (інтеграція + валідація + прийняття), а не сума компонентів; нижня межа спрощеного commissioning — 16 міс. Фінансовий ризик Правління обмежений: оплата прив'язана до прийнятих gate, з правом зупинки без штрафу за подальші фази (7.1), а цінність read-only-фази монетизована у грн до увімкнення керування (7.2). Критичний шлях лежить через доступ до даних (з планом Б на знеособлених/історичних/синтетичних даних) і двійник A1.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40"/>
      <w:ind w:firstLine="709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ind w:firstLine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ind w:firstLine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ind w:firstLine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