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ДОСВІД ТА СПРОМОЖНІСТЬ</w:t>
        <w:br/>
        <w:t>(Past Performance)</w:t>
      </w:r>
    </w:p>
    <w:p/>
    <w:p/>
    <w:p>
      <w:pPr>
        <w:jc w:val="center"/>
      </w:pPr>
      <w:r>
        <w:rPr>
          <w:sz w:val="22"/>
        </w:rPr>
        <w:t>Позначення документа: UE-3PROD.PP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r>
        <w:t>The Past Performance document doesn't exist as a file yet — the text was provided directly in the prompt. The task is to rewrite the provided text per reviewer comments and return the full corrected markdown. No file editing needed; I'll produce the revised document directly.</w:t>
      </w:r>
    </w:p>
    <w:p/>
    <w:p>
      <w:r>
        <w:t>Here is the fully revised text addressing all reviewer comments:</w:t>
      </w:r>
    </w:p>
    <w:p/>
    <w:p/>
    <w:p>
      <w:pPr>
        <w:pStyle w:val="Heading2"/>
      </w:pPr>
      <w:r>
        <w:t>Досвід та підтвердження спроможності (Past Performance)</w:t>
      </w:r>
    </w:p>
    <w:p/>
    <w:p>
      <w:r>
        <w:t>Замовник: ПрАТ «НЕК «УКРЕНЕРГО», ЄДРПОУ 00100227, 01032, м. Київ, вул. Симона Петлюри, 25</w:t>
      </w:r>
    </w:p>
    <w:p>
      <w:r>
        <w:t>Документ для: Правління ПрАТ «НЕК «УКРЕНЕРГО»</w:t>
      </w:r>
    </w:p>
    <w:p>
      <w:r>
        <w:t>Предмет: Підтвердження спроможності виконавця та стратегія зниження ризику замовника</w:t>
      </w:r>
    </w:p>
    <w:p/>
    <w:p/>
    <w:p>
      <w:pPr>
        <w:pStyle w:val="Heading2"/>
      </w:pPr>
      <w:r>
        <w:t>1. Рамка документа</w:t>
      </w:r>
    </w:p>
    <w:p/>
    <w:p>
      <w:r>
        <w:t>Ми відкрито визнаємо ключовий факт: ми не є компанією з впізнаваним ім'ям рівня Palantir чи Siemens і не маємо в портфелі десятків впроваджень у держоператорів передачі. Подавати фейкові або «натягнуті» референси для проєкту критичної інфраструктури держоператора неприйнятно, і ми цього не робимо.</w:t>
      </w:r>
    </w:p>
    <w:p/>
    <w:p>
      <w:r>
        <w:t>Цей документ доводить спроможність чотирма незалежними способами, кожен з яких Правління може перевірити самостійно:</w:t>
      </w:r>
    </w:p>
    <w:p/>
    <w:p>
      <w:pPr>
        <w:pStyle w:val="ListNumber"/>
      </w:pPr>
      <w:r>
        <w:t>Працюючий демонстраційний прототип — функціонуючий продукт, а не слайди (розділ 2). Ми чесно розмежовуємо, що він доводить, а чого не доводить.</w:t>
      </w:r>
    </w:p>
    <w:p>
      <w:pPr>
        <w:pStyle w:val="ListNumber"/>
      </w:pPr>
      <w:r>
        <w:t>Прозора методологія з джерелами — те, *як* ми працюємо, і власний кошторис нашої роботи знизу вгору (розділ 3).</w:t>
      </w:r>
    </w:p>
    <w:p>
      <w:pPr>
        <w:pStyle w:val="ListNumber"/>
      </w:pPr>
      <w:r>
        <w:t>Релевантний суміжний досвід команди з конкретними ролями, CV ключових інженерів та референс-контактами (розділ 4).</w:t>
      </w:r>
    </w:p>
    <w:p>
      <w:pPr>
        <w:pStyle w:val="ListNumber"/>
      </w:pPr>
      <w:r>
        <w:t>Структура угоди, де ризик відсутності «великого імені» несе виконавець, а не замовник — пілот за фіксованою ціною з контрольними точками приймання, поетапною оплатою та повною передачею коду (розділ 7).</w:t>
      </w:r>
    </w:p>
    <w:p/>
    <w:p>
      <w:r>
        <w:t>Окремо документ закриває три питання, без яких пропозицію не можна виносити на голосування Правління: інформаційну безпеку й доступ до даних (розділ 5), сумісність із процедурами держзакупівель (розділ 6) та причинно-наслідкове обґрунтування кожного ROI (розділ 3.4).</w:t>
      </w:r>
    </w:p>
    <w:p/>
    <w:p/>
    <w:p>
      <w:pPr>
        <w:pStyle w:val="Heading2"/>
      </w:pPr>
      <w:r>
        <w:t>2. Демонстраційний прототип: що він доводить і чого не доводить</w:t>
      </w:r>
    </w:p>
    <w:p/>
    <w:p>
      <w:r>
        <w:t>Замість опису того, що ми «вміємо», ми надаємо те, що вже працює. Прототип доступний для перевірки Правлінням:</w:t>
      </w:r>
    </w:p>
    <w:p/>
    <w:p>
      <w:r>
        <w:t>https://ukrenergo.radai-1984.dev</w:t>
      </w:r>
    </w:p>
    <w:p/>
    <w:p>
      <w:r>
        <w:t>Прототип демонструє функціональну реалізацію всіх трьох продуктів та контуру їх взаємодії.</w:t>
      </w:r>
    </w:p>
    <w:p/>
    <w:p>
      <w:r>
        <w:t>Що прототип доводить (і це можна перевірити кліком сьогодні):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Що демонструє прототип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Що це доводить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Три самостійні продукти (Продукт №1 — управління ризиками безпеки та прогнозування загроз; Продукт №2 — виявлення зловживань на енергоринку; Продукт №3 — прогноз технологічних втрат передачі)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Розуміння предметної області всіх трьох напрямів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Опціональне посилення: інтеграція продуктів спільною шиною даних після пілота окремого продукту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Кожен із трьох продуктів працює повністю самостійно; за потреби Замовника продукти можуть бути додатково інтегровані спільною шиною даних — це перспектива розвитку, а не умова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Агентний аналітичний контур 24/7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Володіння сучасною агентною архітектурою аналітики</w:t>
            </w:r>
          </w:p>
        </w:tc>
      </w:tr>
    </w:tbl>
    <w:p/>
    <w:p/>
    <w:p>
      <w:r>
        <w:t>Підсумково прототип доводить три речі: продуктове бачення, архітектуру та швидкість і самостійність команди у реалізації працюючого результату.</w:t>
      </w:r>
    </w:p>
    <w:p/>
    <w:p>
      <w:r>
        <w:t>Чого прототип НЕ доводить — і ми це називаємо прямо:</w:t>
      </w:r>
    </w:p>
    <w:p/>
    <w:p>
      <w:pPr>
        <w:pStyle w:val="ListBullet"/>
      </w:pPr>
      <w:r>
        <w:t>Інтеграцію з реальними системами Укренерго. Дані в прототипі ілюстративні (синтетичні). Прототип не підключений до SCADA/EMS, ринкових даних РСВ/ВСР чи систем обліку.</w:t>
      </w:r>
    </w:p>
    <w:p>
      <w:pPr>
        <w:pStyle w:val="ListBullet"/>
      </w:pPr>
      <w:r>
        <w:t>Промислове навантаження. Прототип не проходив навантажувального тестування на реальних обсягах телеметрії та ринкових подій.</w:t>
      </w:r>
    </w:p>
    <w:p>
      <w:pPr>
        <w:pStyle w:val="ListBullet"/>
      </w:pPr>
      <w:r>
        <w:t>Безпековий аудит. Прототип розгорнутий на зовнішньому домені вендора для демонстрації; він не проходив аудиту відповідно до вимог Держспецзв'язку та не розгорнутий у захищеному периметрі.</w:t>
      </w:r>
    </w:p>
    <w:p/>
    <w:p>
      <w:r>
        <w:t>Цей розрив — між «прототип на синтетиці» і «виробнича система в периметрі ОСП» — і є основним технічним ризиком проєкту. Саме тому ми не позиціонуємо прототип як універсальний доказ. Закриття кожного з трьох пунктів вище винесено в контрольні точки приймання першого пілоту (розділ 7) — інтеграція, навантаження та безпековий аудит є умовами проходження відповідних етапів, за які замовник платить лише після їх досягнення.</w:t>
      </w:r>
    </w:p>
    <w:p/>
    <w:p>
      <w:r>
        <w:t>Зауважимо щодо класів систем: лише A1 є справжнім цифровим двійником фізики мережі. A2 належить до класу систем нагляду за ринком, A3 — до прогнозної аналітики втрат. Ми не розмиваємо ці визначення.</w:t>
      </w:r>
    </w:p>
    <w:p/>
    <w:p/>
    <w:p>
      <w:pPr>
        <w:pStyle w:val="Heading2"/>
      </w:pPr>
      <w:r>
        <w:t>3. Методологія та власний кошторис</w:t>
      </w:r>
    </w:p>
    <w:p/>
    <w:p>
      <w:pPr>
        <w:pStyle w:val="Heading3"/>
      </w:pPr>
      <w:r>
        <w:t>3.1 Дисципліна процесу з джерелами</w:t>
      </w:r>
    </w:p>
    <w:p/>
    <w:p>
      <w:r>
        <w:t>Кожна цифра в нашій комерційній пропозиції має джерело. Обґрунтування вартості спирається на 70 опрацьованих джерел і прив'язане до ринкових якорів реальних контрактів.</w:t>
      </w:r>
    </w:p>
    <w:p/>
    <w:p>
      <w:pPr>
        <w:pStyle w:val="Heading3"/>
      </w:pPr>
      <w:r>
        <w:t>3.2 Два різні питання, які не можна змішувати</w:t>
      </w:r>
    </w:p>
    <w:p/>
    <w:p>
      <w:r>
        <w:t>Скептик справедливо зауважить, що порівняння з Palantir чи Nasdaq показує лише стелю ринку, а не нашу здатність поставити систему за вказану суму. Тому ми чітко розділяємо два питання:</w:t>
      </w:r>
    </w:p>
    <w:p/>
    <w:p>
      <w:r>
        <w:t>(а) Скільки коштує цей клас систем на ринку. Тут ринкові якорі доречні — вони задають верхню межу і показують, що наша ціна лежить *нижче* ринкових аналогів, а не що ми «рівня Palantir».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Ринковий якір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Сума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Що це обмежує (стеля ринку)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Siemens SCADA/EMS для PSE (Польща)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$20М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Верхня межа для систем класу EMS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Nasdaq SMARTS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$77М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Верхня межа для нагляду за ринком (A2)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EBRD EMS+SCADA (Боснія)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EUR 8.5М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Регіональний орієнтир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Palantir Foundry (USDA)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$300М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Верхня межа для платформ даних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Palantir Foundry (CDC)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$443М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Верхня межа для платформ даних</w:t>
            </w:r>
          </w:p>
        </w:tc>
      </w:tr>
    </w:tbl>
    <w:p/>
    <w:p/>
    <w:p>
      <w:r>
        <w:t>Ці якорі не є обґрунтуванням нашої ціни — вони лише доводять, що клас задачі коштує дорого і наша пропозиція не виходить за ринкові рамки. Обґрунтування ціни — нижче.</w:t>
      </w:r>
    </w:p>
    <w:p/>
    <w:p>
      <w:r>
        <w:t>(б) Чому МИ зробимо це за вказану суму. Тут діє наш власний кошторис знизу вгору — трудовитрати нашої команди, а не чужі контракти.</w:t>
      </w:r>
    </w:p>
    <w:p/>
    <w:p>
      <w:pPr>
        <w:pStyle w:val="Heading3"/>
      </w:pPr>
      <w:r>
        <w:t>3.3 Кошторис знизу вгору: з чого складається MVP A3 ($3.7М)</w:t>
      </w:r>
    </w:p>
    <w:p/>
    <w:p>
      <w:r>
        <w:t>Наша ціна будується від собівартості власної роботи, а не від ринкового порівняння. Прозорий множник: x2.75 (накладні витрати) × 1.18 (доступ до держтаємниці / clearance) × 1.15 (воєнний коефіцієнт) = × 3.732, усі компоненти взяті по нижній планці ринку. Воєнний коефіцієнт ми беремо лише +15%, тоді як офіційний danger pay Держдепартаменту США для Києва становить 35%.</w:t>
      </w:r>
    </w:p>
    <w:p/>
    <w:p>
      <w:r>
        <w:t>На прикладі MVP A3 (найменший пілот, $3.7М) ця логіка розкривається в одиницях нашої роботи — людино-місяцях:</w:t>
      </w:r>
    </w:p>
    <w:p/>
    <w:p>
      <w:pPr>
        <w:ind w:left="454"/>
      </w:pPr>
      <w:r>
        <w:rPr>
          <w:i/>
        </w:rPr>
        <w:t>*Примітка щодо одиниць.* Нижче наведено структуру кошторису MVP A3 та принцип переходу від людино-місяців до ціни. Точна розбивка по ролях, тривалості етапів і ставках подана в Annex B (Кошторис) і Annex C (Обґрунтування вартості); цифри в цих додатках є джерелом істини. Ми не наводимо тут чисел, яких не можемо підтвердити документом.</w:t>
      </w:r>
    </w:p>
    <w:p/>
    <w:p>
      <w:r>
        <w:t>Принцип розрахунку MVP A3:</w:t>
      </w:r>
    </w:p>
    <w:p>
      <w:pPr>
        <w:pStyle w:val="ListNumber"/>
      </w:pPr>
      <w:r>
        <w:t>Собівартість = (людино-місяці команди пілоту) × (місячні ставки за ролями: архітектор даних, ML-інженер, інженер інтеграції, DevOps/безпека, QA, керівник проєкту).</w:t>
      </w:r>
    </w:p>
    <w:p>
      <w:pPr>
        <w:pStyle w:val="ListNumber"/>
      </w:pPr>
      <w:r>
        <w:t>× 2.75 — накладні витрати (інфраструктура, ліцензії, управління, гарантійний резерв).</w:t>
      </w:r>
    </w:p>
    <w:p>
      <w:pPr>
        <w:pStyle w:val="ListNumber"/>
      </w:pPr>
      <w:r>
        <w:t>× 1.18 — надбавка за роботу з доступом до держтаємниці та в захищеному контурі (вимоги до персоналу й середовища, див. розділ 5).</w:t>
      </w:r>
    </w:p>
    <w:p>
      <w:pPr>
        <w:pStyle w:val="ListNumber"/>
      </w:pPr>
      <w:r>
        <w:t>× 1.15 — воєнний коефіцієнт.</w:t>
      </w:r>
    </w:p>
    <w:p/>
    <w:p>
      <w:r>
        <w:t>Ключова відмінність від розділу 3.2(а): ця сума спирається на обсяг нашої власної роботи, який замовник може оскаржити по кожному рядку Annex B, а не на контракт Palantir. Контрольні точки приймання (розділ 7) прив'язують оплату саме до цих етапів роботи.</w:t>
      </w:r>
    </w:p>
    <w:p/>
    <w:p>
      <w:pPr>
        <w:pStyle w:val="Heading3"/>
      </w:pPr>
      <w:r>
        <w:t>3.4 ROI: причинно-наслідковий ланцюг, а не лише відсоток</w:t>
      </w:r>
    </w:p>
    <w:p/>
    <w:p>
      <w:r>
        <w:t>Ми рахуємо окупність за консервативним базовим сценарієм і показуємо три сценарії — песимістичний (половина базового), базовий, оптимістичний (подвоєний базовий). Нижче для кожного продукту наведено механізм «функція системи → операційна дія → грошовий ефект», а не лише підсумковий відсоток.</w:t>
      </w:r>
    </w:p>
    <w:p/>
    <w:p>
      <w:r>
        <w:t>Продукт №1 — система управління ризиками безпеки та прогнозування загроз.</w:t>
      </w:r>
    </w:p>
    <w:p>
      <w:pPr>
        <w:pStyle w:val="ListBullet"/>
      </w:pPr>
      <w:r>
        <w:t>*Функція системи:* моделювання стану мережі та сценаріїв «що-якщо» в реальному часі.</w:t>
      </w:r>
    </w:p>
    <w:p>
      <w:pPr>
        <w:pStyle w:val="ListBullet"/>
      </w:pPr>
      <w:r>
        <w:t>*Операційна дія:* після пошкодження обладнання (наприклад, атака 22.03.2024) диспетчер швидше визначає безпечну схему перемаршрутизації та послідовність відновлення, скорочуючи час повернення вузлів у роботу.</w:t>
      </w:r>
    </w:p>
    <w:p>
      <w:pPr>
        <w:pStyle w:val="ListBullet"/>
      </w:pPr>
      <w:r>
        <w:t>*Грошовий ефект:* скорочення часу відновлення → зменшення обсягу недовідпущеної електроенергії (ENS) та витрат на аварійні режими.</w:t>
      </w:r>
    </w:p>
    <w:p/>
    <w:p>
      <w:r>
        <w:t>Чесне уточнення механізму: система не зупиняє фізичне ураження обладнання — тому формулювання «відведення 15% фізичного збитку обладнанню» є некоректним за механізмом, і ми від нього відмовляємось. Коректна база ефекту A1 — скорочення часу відновлення та зниження ENS, а не запобігання фізичному пошкодженню. Грошову оцінку ENS-ефекту (вартість недовідпущеної електроенергії, VoLL) ми готові порахувати спільно з замовником на його фактичних даних про тривалість відновлення; до отримання цих даних ми свідомо не наводимо підсумкову цифру ROI для A1, щоб не будувати рахунок на недоведеному відсотку. Це обмеження ми позначаємо чесно, а не маскуємо припущенням.</w:t>
      </w:r>
    </w:p>
    <w:p/>
    <w:p>
      <w:r>
        <w:t>A2 — нагляд за ринком. Винесено в окрему регуляторну категорію — див. розділ 3.5. ROI A2 *не* змішується з A1/A3.</w:t>
      </w:r>
    </w:p>
    <w:p/>
    <w:p>
      <w:r>
        <w:t>A3 — контроль втрат.</w:t>
      </w:r>
    </w:p>
    <w:p>
      <w:pPr>
        <w:pStyle w:val="ListBullet"/>
      </w:pPr>
      <w:r>
        <w:t>*Функція системи:* прогнозування та факторний аналіз технічних і комерційних втрат у магістральній мережі.</w:t>
      </w:r>
    </w:p>
    <w:p>
      <w:pPr>
        <w:pStyle w:val="ListBullet"/>
      </w:pPr>
      <w:r>
        <w:t>*Операційна дія:* виявлення аномалій балансу й адресні заходи зі зниження втрат (уточнення режимів, виявлення розбалансів обліку).</w:t>
      </w:r>
    </w:p>
    <w:p>
      <w:pPr>
        <w:pStyle w:val="ListBullet"/>
      </w:pPr>
      <w:r>
        <w:t>*Грошовий ефект:* зменшення обсягу втрат, що компенсуються в тарифі.</w:t>
      </w:r>
    </w:p>
    <w:p/>
    <w:p>
      <w:pPr>
        <w:ind w:left="454"/>
      </w:pPr>
      <w:r>
        <w:rPr>
          <w:i/>
        </w:rPr>
        <w:t>*Обмеження бази розрахунку A3.* Орієнтир «магістральні втрати ~1.5–2.5%» — це бенчмарк ENTSO-E, а не офіційна цифра Укренерго, тому будувати фінальний рахунок на ньому ми вважаємо некоректним. Фактична цифра втрат Укренерго є у замовника, і коректний розрахунок A3 ми проводимо саме від неї. Запит цих даних включено в перелік вхідних даних пілоту (Annex). До їх отримання ми наводимо лише *структуру* розрахунку (ефект = база фактичних втрат × частка зниження), а не конкретну суму, яку не можемо підтвердити.</w:t>
      </w:r>
    </w:p>
    <w:p/>
    <w:p>
      <w:r>
        <w:t>Підсумок підходу до ROI: де у нас є фактична база замовника — рахуємо від неї; де її поки немає (A1 ENS, A3 втрати) — ми не підставляємо припущення, а позначаємо, що цифра з'явиться після отримання даних. Це і є межа, за яку ми не виходимо.</w:t>
      </w:r>
    </w:p>
    <w:p/>
    <w:p>
      <w:pPr>
        <w:pStyle w:val="Heading3"/>
      </w:pPr>
      <w:r>
        <w:t>3.5 A2 — регуляторно-обов'язкове, а не ROI-кейс</w:t>
      </w:r>
    </w:p>
    <w:p/>
    <w:p>
      <w:r>
        <w:t>A2 не продається через окупність, і ми не вставляємо його в одну ROI-таблицю з A1/A3, бо це вводило б в оману. A2 — це виконання регуляторного зобов'язання:</w:t>
      </w:r>
    </w:p>
    <w:p/>
    <w:p>
      <w:pPr>
        <w:pStyle w:val="ListBullet"/>
      </w:pPr>
      <w:r>
        <w:t>Підстава: регламент REMIT (моніторинг та виявлення ринкових зловживань) і відповідні вимоги ENTSO-E; напрям лежить у категорії «IT including Cybersecurity» Catalogue of Measures (28.06.2017).</w:t>
      </w:r>
    </w:p>
    <w:p>
      <w:pPr>
        <w:pStyle w:val="ListBullet"/>
      </w:pPr>
      <w:r>
        <w:t>Терміновість: в Україні у 2025 році вже застосовано перший штраф за REMIT — тобто режим контролю діючий, а не гіпотетичний.</w:t>
      </w:r>
    </w:p>
    <w:p>
      <w:pPr>
        <w:pStyle w:val="ListBullet"/>
      </w:pPr>
      <w:r>
        <w:t>Хто всередині замовника є власником рішення: департамент комплаєнсу / юридична функція, а не власник бюджету під окупність.</w:t>
      </w:r>
    </w:p>
    <w:p/>
    <w:p>
      <w:r>
        <w:t>Прямий ROI A2 свідомо слабкий, і ми це визнаємо. Саме тому питання щодо A2 формулюється не «яка окупність», а «який регуляторний дедлайн і ціна невідповідності». Точну прив'язку до статті REMIT і пункту Catalogue of Measures подано в Annex A (ТЗ A2).</w:t>
      </w:r>
    </w:p>
    <w:p/>
    <w:p/>
    <w:p>
      <w:pPr>
        <w:pStyle w:val="Heading2"/>
      </w:pPr>
      <w:r>
        <w:t>4. Команда: ролі, склад і референси</w:t>
      </w:r>
    </w:p>
    <w:p/>
    <w:p>
      <w:r>
        <w:t>Розділ свідомо переходить від «ми/команда» до конкретики, бо анонімний досвід суперечив би принципу верифікованості, на якому стоїть уся пропозиція.</w:t>
      </w:r>
    </w:p>
    <w:p/>
    <w:p>
      <w:pPr>
        <w:pStyle w:val="Heading3"/>
      </w:pPr>
      <w:r>
        <w:t>4.1 Склад і масштабування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Значення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Поточне ядро команди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*(заповнюється фактичним числом — N інженерів)*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План масштабування під пілот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*(N → M під конкретний пілот, графік найму/залучення)*</w:t>
            </w:r>
          </w:p>
        </w:tc>
      </w:tr>
    </w:tbl>
    <w:p/>
    <w:p/>
    <w:p>
      <w:pPr>
        <w:ind w:left="454"/>
      </w:pPr>
      <w:r>
        <w:rPr>
          <w:i/>
        </w:rPr>
        <w:t>*Чесне застереження щодо спроможності.* Питання Правління «чи витримає команда з 3–5 людей паралельну розробку трьох систем на $51М» — справедливе, і відповідь чесна: ні, паралельно трьома фронтами одночасно — ні, і саме тому ми не пропонуємо стартувати з усіх трьох систем одразу. Рекомендований вхід — один MVP-пілот (розділ 7), під який поточного ядра достатньо, з планом масштабування під повний обсяг лише після проходження контрольних точок. Структура входу прямо узгоджена з реальним розміром команди.</w:t>
      </w:r>
    </w:p>
    <w:p/>
    <w:p>
      <w:pPr>
        <w:pStyle w:val="Heading3"/>
      </w:pPr>
      <w:r>
        <w:t>4.2 Ключові ролі пілоту</w:t>
      </w:r>
    </w:p>
    <w:p/>
    <w:p>
      <w:r>
        <w:t>Нижче — рамка ключових ролей. CV (стек, роки досвіду, релевантні проєкти) подаються в Annex E в анонімізованому за потреби, але перевірюваному форматі: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Роль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Зона відповідальності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Що подається в Annex 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Архітектор Продукту №1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Модель фізики мережі, архітектура системи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CV, стек, роки досвіду в енергетичних/критичних системах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ML-інженер (A3)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Прогнозні моделі втрат, перенавчання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CV, перелік виробничих ML-впроваджень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Інженер інтеграції (SCADA/EMS/ринок)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Підключення до оперативних і ринкових 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CV, досвід промислових інтеграцій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DevOps / інженер безпеки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Захищений контур, відповідність НД ТЗІ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CV, статус допусків (див. розділ 5)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Керівник проєкту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Контрольні точки, звітність замовнику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CV, керовані проєкти</w:t>
            </w:r>
          </w:p>
        </w:tc>
      </w:tr>
    </w:tbl>
    <w:p/>
    <w:p/>
    <w:p>
      <w:pPr>
        <w:pStyle w:val="Heading3"/>
      </w:pPr>
      <w:r>
        <w:t>4.3 Релевантний суміжний досвід — з можливістю перевірки</w:t>
      </w:r>
    </w:p>
    <w:p/>
    <w:p>
      <w:r>
        <w:t>Ми не стверджуємо, що вже будували цифровий двійник магістральної мережі для ОСП — це було б неправдою. Релевантність — у класах задач, що збігаються з вашими:</w:t>
      </w:r>
    </w:p>
    <w:p/>
    <w:p>
      <w:pPr>
        <w:pStyle w:val="ListBullet"/>
      </w:pPr>
      <w:r>
        <w:t>Прогнозна аналітика інфраструктурних процесів — прогнозні моделі споживання й навантаження на реальних даних комунального сектору (виробничі впровадження).</w:t>
      </w:r>
    </w:p>
    <w:p>
      <w:pPr>
        <w:pStyle w:val="ListBullet"/>
      </w:pPr>
      <w:r>
        <w:t>Критичні та цілодобові системи — проєктування й експлуатація сервісів з вимогою безперервної доступності та відмовостійкості.</w:t>
      </w:r>
    </w:p>
    <w:p>
      <w:pPr>
        <w:pStyle w:val="ListBullet"/>
      </w:pPr>
      <w:r>
        <w:t>Інтеграція ML у промислові процеси — впровадження прогнозних моделей у діючі операційні контури з регулярним перенавчанням.</w:t>
      </w:r>
    </w:p>
    <w:p>
      <w:pPr>
        <w:pStyle w:val="ListBullet"/>
      </w:pPr>
      <w:r>
        <w:t>Агентна аналітична архітектура — автономні аналітичні контури (продемонстровано в прототипі).</w:t>
      </w:r>
    </w:p>
    <w:p/>
    <w:p>
      <w:pPr>
        <w:ind w:left="454"/>
      </w:pPr>
      <w:r>
        <w:rPr>
          <w:i/>
        </w:rPr>
        <w:t>*Референс-контакти.* Щоб цей розділ не залишався «повірте на слово», ми надаємо в Annex E перелік конкретних комунальних впроваджень із контактною особою для референс-дзвінка по кожному. Якщо на момент подання згоду на контакт від конкретного замовника не отримано, ми позначаємо це прямо й надаємо знеособлений опис проєкту замість контакту — але не видаємо неперевірюваний проєкт за перевірюваний.</w:t>
      </w:r>
    </w:p>
    <w:p/>
    <w:p>
      <w:r>
        <w:t>Ці компетенції безпосередньо переносяться на A3 (прогнозування втрат), на операційні вимоги A1 (безперервність, моніторинг) та на агентний контур усіх трьох продуктів. Ми не екстраполюємо їх на твердження, яких не можемо довести.</w:t>
      </w:r>
    </w:p>
    <w:p/>
    <w:p/>
    <w:p>
      <w:pPr>
        <w:pStyle w:val="Heading2"/>
      </w:pPr>
      <w:r>
        <w:t>5. Безпека та доступ до даних</w:t>
      </w:r>
    </w:p>
    <w:p/>
    <w:p>
      <w:r>
        <w:t>Для держоператора критичної інфраструктури в умовах війни це питання першочергове, тому винесене в окремий розділ, а не в додаток.</w:t>
      </w:r>
    </w:p>
    <w:p/>
    <w:p>
      <w:pPr>
        <w:pStyle w:val="Heading3"/>
      </w:pPr>
      <w:r>
        <w:t>5.1 Модель розгортання</w:t>
      </w:r>
    </w:p>
    <w:p/>
    <w:p>
      <w:pPr>
        <w:pStyle w:val="ListBullet"/>
      </w:pPr>
      <w:r>
        <w:t>Цільова модель — on-prem у периметрі Укренерго. Виробнича система розгортається в інфраструктурі замовника (або в погодженому захищеному дата-центрі), а не в публічній хмарі вендора.</w:t>
      </w:r>
    </w:p>
    <w:p>
      <w:pPr>
        <w:pStyle w:val="ListBullet"/>
      </w:pPr>
      <w:r>
        <w:t>Зовнішній демонстраційний домен ≠ виробниче середовище. Прототип на radai-1984.dev — виключно демонстраційний майданчик на синтетичних даних (розділ 2). Жодні реальні дані Укренерго на зовнішній домен не потрапляють і потрапити не можуть; виробниче розгортання з цим доменом не пов'язане.</w:t>
      </w:r>
    </w:p>
    <w:p/>
    <w:p>
      <w:pPr>
        <w:pStyle w:val="Heading3"/>
      </w:pPr>
      <w:r>
        <w:t>5.2 Ізоляція від оперативного контуру</w:t>
      </w:r>
    </w:p>
    <w:p/>
    <w:p>
      <w:pPr>
        <w:pStyle w:val="ListBullet"/>
      </w:pPr>
      <w:r>
        <w:t>Середовище розробки й тестування фізично/логічно ізолюється від оперативних систем замовника (SCADA/EMS). Доступ до оперативного контуру — лише через погоджені односторонні/контрольовані інтерфейси (наприклад, історизовані дані, репліки), без можливості запису у керуючий контур.</w:t>
      </w:r>
    </w:p>
    <w:p>
      <w:pPr>
        <w:pStyle w:val="ListBullet"/>
      </w:pPr>
      <w:r>
        <w:t>Інтеграція з реальними джерелами вмикається поетапно й лише в межах, погоджених службою безпеки замовника.</w:t>
      </w:r>
    </w:p>
    <w:p/>
    <w:p>
      <w:pPr>
        <w:pStyle w:val="Heading3"/>
      </w:pPr>
      <w:r>
        <w:t>5.3 Відповідність вимогам і допуски</w:t>
      </w:r>
    </w:p>
    <w:p/>
    <w:p>
      <w:pPr>
        <w:pStyle w:val="ListBullet"/>
      </w:pPr>
      <w:r>
        <w:t>Відповідність вимогам Держспецзв'язку та НД ТЗІ закладається в архітектуру з першого етапу; проходження безпекового аудиту є умовою приймання відповідного етапу (розділ 7).</w:t>
      </w:r>
    </w:p>
    <w:p>
      <w:pPr>
        <w:pStyle w:val="ListBullet"/>
      </w:pPr>
      <w:r>
        <w:t>Допуски до держтаємниці: надбавка ×1.18 у кошторисі (розділ 3.3) — це не лише рядок ціни, а відображення вимоги, що персонал, який працює із захищеними даними, повинен мати відповідний допуск.</w:t>
      </w:r>
    </w:p>
    <w:p/>
    <w:p>
      <w:pPr>
        <w:ind w:left="454"/>
      </w:pPr>
      <w:r>
        <w:rPr>
          <w:i/>
        </w:rPr>
        <w:t>*Чесне позначення статусу.* Поточний статус допусків команди та план їх отримання (хто вже має допуск, хто проходить оформлення, орієнтовні строки) подаються в Annex E. Якщо на момент подання частина команди допусків не має, ми вказуємо це прямо разом із планом оформлення, а не приховуємо.</w:t>
      </w:r>
    </w:p>
    <w:p/>
    <w:p/>
    <w:p>
      <w:pPr>
        <w:pStyle w:val="Heading2"/>
      </w:pPr>
      <w:r>
        <w:t>6. Сумісність із процедурами закупівель</w:t>
      </w:r>
    </w:p>
    <w:p/>
    <w:p>
      <w:r>
        <w:t>Укренерго — суб'єкт публічних закупівель, тариф регулює НКРЕКП, а кредитори (EBRD/ЄІБ) висувають власні вимоги до процедур. Тому формулювання «прямий вибір вендора за фіксованою ціною» не може застосовуватися поза законними рамками, і ми це враховуємо.</w:t>
      </w:r>
    </w:p>
    <w:p/>
    <w:p>
      <w:pPr>
        <w:pStyle w:val="ListBullet"/>
      </w:pPr>
      <w:r>
        <w:t>Закон і Prozorro. Закупівля проводиться відповідно до законодавства України про публічні закупівлі. Залежно від суми пілот може бути допороговою закупівлею або повноцінною процедурою через Prozorro; вибір процедури визначає замовник згідно з порогами. Структура «MVP-пілот за фіксованою ціною» з розділу 7 описує предмет і умови, а не спосіб обходу тендеру.</w:t>
      </w:r>
    </w:p>
    <w:p>
      <w:pPr>
        <w:pStyle w:val="ListBullet"/>
      </w:pPr>
      <w:r>
        <w:t>Вимоги донорів. Якщо фінансування залучає EBRD/ЄІБ, застосовуються їх процедурні вимоги, що можуть передбачати міжнародний конкурс. Ми це визнаємо й готові брати участь у процедурі на загальних підставах.</w:t>
      </w:r>
    </w:p>
    <w:p>
      <w:pPr>
        <w:pStyle w:val="ListBullet"/>
      </w:pPr>
      <w:r>
        <w:t>Наслідок для структури угоди. Усі механізми розділу 7 (фіксована ціна, контрольні точки, поетапна оплата, передача коду) сформульовані як умови предмета закупівлі, сумісні з конкурентною процедурою, а не як підстава для безконкурентного прямого договору.</w:t>
      </w:r>
    </w:p>
    <w:p/>
    <w:p>
      <w:pPr>
        <w:ind w:left="454"/>
      </w:pPr>
      <w:r>
        <w:rPr>
          <w:i/>
        </w:rPr>
        <w:t>Юридичне оформлення конкретної процедури — за рішенням замовника та його закупівельної/юридичної функції. Ми не претендуємо на «купівлю в обхід закону».</w:t>
      </w:r>
    </w:p>
    <w:p/>
    <w:p/>
    <w:p>
      <w:pPr>
        <w:pStyle w:val="Heading2"/>
      </w:pPr>
      <w:r>
        <w:t>7. Стратегія зниження ризику замовника</w:t>
      </w:r>
    </w:p>
    <w:p/>
    <w:p>
      <w:r>
        <w:t>Ризик «невідомого вендора» реальний, і ми знімаємо його структурою угоди, а не обіцянками.</w:t>
      </w:r>
    </w:p>
    <w:p/>
    <w:p>
      <w:pPr>
        <w:pStyle w:val="Heading3"/>
      </w:pPr>
      <w:r>
        <w:t>7.1 Чотири механізми</w:t>
      </w:r>
    </w:p>
    <w:p/>
    <w:p>
      <w:pPr>
        <w:pStyle w:val="ListNumber"/>
      </w:pPr>
      <w:r>
        <w:t>Пілот за фіксованою ціною. Старт із MVP-етапу за фіксованою ціною. Ризик перевитрат — на виконавцеві.</w:t>
      </w:r>
    </w:p>
    <w:p>
      <w:pPr>
        <w:pStyle w:val="ListNumber"/>
      </w:pPr>
      <w:r>
        <w:t>Контрольні точки приймання. Кожен етап має заздалегідь узгоджені вимірювані критерії приймання (зокрема для першого пілоту — інтеграція з реальними даними, навантажувальне тестування, проходження безпекового аудиту з розділу 5). Не досягнуто критеріїв — замовник не платить за наступний етап і має право вийти.</w:t>
      </w:r>
    </w:p>
    <w:p>
      <w:pPr>
        <w:pStyle w:val="ListNumber"/>
      </w:pPr>
      <w:r>
        <w:t>Поетапна оплата. Оплата прив'язана до проходження контрольних точок, а не до календаря.</w:t>
      </w:r>
    </w:p>
    <w:p>
      <w:pPr>
        <w:pStyle w:val="ListNumber"/>
      </w:pPr>
      <w:r>
        <w:t>Повна передача коду. Увесь вихідний код передається замовнику; залежності від постачальника не виникає. Якщо співпраця не складеться, замовник залишається з активом.</w:t>
      </w:r>
    </w:p>
    <w:p/>
    <w:p>
      <w:pPr>
        <w:pStyle w:val="Heading3"/>
      </w:pPr>
      <w:r>
        <w:t>7.2 Рекомендований вхід: один MVP-пілот</w:t>
      </w:r>
    </w:p>
    <w:p/>
    <w:p>
      <w:r>
        <w:t>Замість зобов'язання на повну Модель A ($51.1М) ми рекомендуємо почати з одного MVP — це відповідає й реальному розміру команди (розділ 4.1):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Напрям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MVP (фікс. ціна пілоту)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Повна версія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Драйвер рішення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Продукт №1 — управління ризиками безпеки та прогнозування загроз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$10.8М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$26.9М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Скорочення часу відновлення / ENS (рахується на даних замовника)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A3 — контроль втрат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$3.7М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$9.1М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Зниження втрат (рахується від фактичної бази замовника)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A2 — нагляд за ринком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$6.0М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$15.1М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Регуляторне зобов'язання (REMIT/ENTSO-E), не ROI</w:t>
            </w:r>
          </w:p>
        </w:tc>
      </w:tr>
    </w:tbl>
    <w:p/>
    <w:p/>
    <w:p>
      <w:r>
        <w:t>Курс розрахунку: 42 грн/$.</w:t>
      </w:r>
    </w:p>
    <w:p/>
    <w:p>
      <w:r>
        <w:t>Вхід з мінімальним ризиком — MVP A3 ($3.7М) або MVP A1 ($10.8М). Замовник перевіряє виконавця на реальному, але обмеженому обсязі, перш ніж масштабувати.</w:t>
      </w:r>
    </w:p>
    <w:p/>
    <w:p>
      <w:pPr>
        <w:pStyle w:val="Heading3"/>
      </w:pPr>
      <w:r>
        <w:t>7.3 «Чому саме зараз» — окремо для кожного продукту</w:t>
      </w:r>
    </w:p>
    <w:p/>
    <w:p>
      <w:r>
        <w:t>Питання «навіщо у збитковий рік» вимагає окремої відповіді по кожному напряму, а не спільної:</w:t>
      </w:r>
    </w:p>
    <w:p/>
    <w:p>
      <w:pPr>
        <w:pStyle w:val="ListBullet"/>
      </w:pPr>
      <w:r>
        <w:t>A1 — зараз, бо ризик матеріалізований. Атаки на обладнання вже відбуваються; цінність двійника — у скороченні часу відновлення під час наступної події, а не «колись».</w:t>
      </w:r>
    </w:p>
    <w:p>
      <w:pPr>
        <w:pStyle w:val="ListBullet"/>
      </w:pPr>
      <w:r>
        <w:t>A3 — зараз, бо база ефекту вже існує. Втрати компенсуються в тарифі щороку; кожен рік без інструменту — це втрачена економія на фактичній базі замовника.</w:t>
      </w:r>
    </w:p>
    <w:p>
      <w:pPr>
        <w:pStyle w:val="ListBullet"/>
      </w:pPr>
      <w:r>
        <w:t>A2 — зараз, бо є регуляторний режим і прецедент штрафу (2025). Це питання відповідності, а не вибору моменту за окупністю.</w:t>
      </w:r>
    </w:p>
    <w:p/>
    <w:p>
      <w:pPr>
        <w:pStyle w:val="Heading3"/>
      </w:pPr>
      <w:r>
        <w:t>7.4 Платформна модель — лише після пілоту</w:t>
      </w:r>
    </w:p>
    <w:p/>
    <w:p>
      <w:r>
        <w:t>Після успішного пілоту три продукти можуть об'єднатися в єдину платформу (Модель B) зі знижкою 25%: $38.4М замість роздільних $51.1М. Економія ~$12.7М виникає завдяки спільній шині даних (наскрізний сценарій A1 → Шина → A2 → A3). Ми не нав'язуємо платформу авансом — до неї переходять лише після доведеної довіри на пілоті. *(Зауважимо: A2 у Моделі B залишається регуляторним компонентом, а не драйвером окупності — див. розділ 3.5.)*</w:t>
      </w:r>
    </w:p>
    <w:p/>
    <w:p/>
    <w:p>
      <w:pPr>
        <w:pStyle w:val="Heading2"/>
      </w:pPr>
      <w:r>
        <w:t>8. Стратегічний контекст</w:t>
      </w:r>
    </w:p>
    <w:p/>
    <w:p>
      <w:r>
        <w:t>Наведені цифри — публічний контекст, не наші оцінки:</w:t>
      </w:r>
    </w:p>
    <w:p/>
    <w:p>
      <w:pPr>
        <w:pStyle w:val="ListBullet"/>
      </w:pPr>
      <w:r>
        <w:t>Прямі збитки сектору передачі: $2.1 млрд (оцінка KSE).</w:t>
      </w:r>
    </w:p>
    <w:p>
      <w:pPr>
        <w:pStyle w:val="ListBullet"/>
      </w:pPr>
      <w:r>
        <w:t>Чистий збиток Укренерго за 2024 рік: 37.7 млрд грн.</w:t>
      </w:r>
    </w:p>
    <w:p>
      <w:pPr>
        <w:pStyle w:val="ListBullet"/>
      </w:pPr>
      <w:r>
        <w:t>Інвестпрограма: ~4.36 млрд грн/рік.</w:t>
      </w:r>
    </w:p>
    <w:p>
      <w:pPr>
        <w:pStyle w:val="ListBullet"/>
      </w:pPr>
      <w:r>
        <w:t>Синхронізація з ENTSO-E: 16.03.2022; повне членство: 14.12.2023.</w:t>
      </w:r>
    </w:p>
    <w:p>
      <w:pPr>
        <w:pStyle w:val="ListBullet"/>
      </w:pPr>
      <w:r>
        <w:t>Угода Catalogue of Measures від 28.06.2017, 4 категорії: Protection and Dynamic Stability; Operations and Markets; Legal and Regulatory; IT including Cybersecurity.</w:t>
      </w:r>
    </w:p>
    <w:p/>
    <w:p>
      <w:r>
        <w:t>Виконання IT-вимог ENTSO-E вже принесло +500 МВт торгової ємності (зростання з 1200 до 1700 МВт, ENTSO-E, 28.11.2023). Три наші продукти лежать у категорії «IT including Cybersecurity» Catalogue of Measures — у зоні зобов'язань, які Укренерго вже взяв на себе.</w:t>
      </w:r>
    </w:p>
    <w:p/>
    <w:p/>
    <w:p>
      <w:pPr>
        <w:pStyle w:val="Heading2"/>
      </w:pPr>
      <w:r>
        <w:t>9. Annexes (надаються як окремі документи)</w:t>
      </w:r>
    </w:p>
    <w:p/>
    <w:p>
      <w:pPr>
        <w:pStyle w:val="ListBullet"/>
      </w:pPr>
      <w:r>
        <w:t>Annex A. Чотири технічні завдання за структурою ГОСТ 34.602 — A1, A2 (з прив'язкою до статті REMIT і пункту Catalogue of Measures), A3, платформа.</w:t>
      </w:r>
    </w:p>
    <w:p>
      <w:pPr>
        <w:pStyle w:val="ListBullet"/>
      </w:pPr>
      <w:r>
        <w:t>Annex B. Кошторис — розбивка по людино-місяцях, ролях і ставках (джерело істини для розділу 3.3).</w:t>
      </w:r>
    </w:p>
    <w:p>
      <w:pPr>
        <w:pStyle w:val="ListBullet"/>
      </w:pPr>
      <w:r>
        <w:t>Annex C. Обґрунтування вартості з 70 джерелами.</w:t>
      </w:r>
    </w:p>
    <w:p>
      <w:pPr>
        <w:pStyle w:val="ListBullet"/>
      </w:pPr>
      <w:r>
        <w:t>Annex D. Демонстраційний прототип: https://ukrenergo-radai-1984.dev *(синтетичні дані, демонстраційний майданчик).*</w:t>
      </w:r>
    </w:p>
    <w:p>
      <w:pPr>
        <w:pStyle w:val="ListBullet"/>
      </w:pPr>
      <w:r>
        <w:t>Annex E. CV ключових ролей, склад і план масштабування команди, статус і план отримання допусків, перелік референс-контактів за суміжними впровадженнями.</w:t>
      </w:r>
    </w:p>
    <w:p/>
    <w:p/>
    <w:p>
      <w:pPr>
        <w:pStyle w:val="Heading2"/>
      </w:pPr>
      <w:r>
        <w:t>10. Підсумок для Правління</w:t>
      </w:r>
    </w:p>
    <w:p/>
    <w:p>
      <w:r>
        <w:t>Ми не просимо повірити в ім'я. Ми надаємо наперед чотири перевірювані речі: (1) працюючий прототип із чесно окресленими межами того, що він доводить; (2) методологію з джерелами та власний кошторис знизу вгору; (3) команду з названими ролями, CV та референс-контактами; (4) структуру угоди, де ризик несе виконавець.</w:t>
      </w:r>
    </w:p>
    <w:p/>
    <w:p>
      <w:r>
        <w:t>Додатково закрито три питання, без яких рішення неможливе: безпека й доступ до даних (on-prem у периметрі, ізоляція від SCADA/EMS, відповідність Держспецзв'язку), сумісність із процедурами закупівель (Prozorro / вимоги донорів), і обґрунтування ROI через механізм, де відсутню фактичну базу ми позначаємо чесно, а не замінюємо припущенням.</w:t>
      </w:r>
    </w:p>
    <w:p/>
    <w:p>
      <w:r>
        <w:t>Рекомендований перший крок — один MVP-пілот за фіксованою ціною з контрольними точками приймання та повною передачею коду, реалізований у законній закупівельній процедурі. Це перетворює рішення «довіритися невідомому вендору» на рішення «придбати перевірюваний результат поетапно, з правом зупинитися на кожному кроці».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