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rPr>
          <w:b/>
          <w:sz w:val="22"/>
        </w:rPr>
        <w:t>Гриф обмеження доступу: «ЦІЛКОМ ТАЄМНО»</w:t>
        <w:br/>
        <w:t>Прим. № ____   (проєкт — до затвердження КСЗІ)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rPr>
                <w:sz w:val="22"/>
              </w:rPr>
              <w:t>ПОГОДЖЕНО</w:t>
              <w:br/>
              <w:t>Генеральний директор ВИКОНАВЦЯ</w:t>
              <w:br/>
              <w:t>____________ ______________</w:t>
              <w:br/>
              <w:t>«___» __________ 20__ р.</w:t>
              <w:br/>
              <w:t xml:space="preserve">        М.П.</w:t>
            </w:r>
          </w:p>
        </w:tc>
        <w:tc>
          <w:tcPr>
            <w:tcW w:type="dxa" w:w="4320"/>
          </w:tcPr>
          <w:p>
            <w:r>
              <w:rPr>
                <w:sz w:val="22"/>
              </w:rPr>
              <w:t>ЗАТВЕРДЖУЮ</w:t>
              <w:br/>
              <w:t>Генеральний директор</w:t>
              <w:br/>
              <w:t>НЕК «УКРЕНЕРГО»</w:t>
              <w:br/>
              <w:t>____________ ______________</w:t>
              <w:br/>
              <w:t>«___» __________ 20__ р.</w:t>
              <w:br/>
              <w:t xml:space="preserve">        М.П.</w:t>
            </w:r>
          </w:p>
        </w:tc>
      </w:tr>
    </w:tbl>
    <w:p/>
    <w:p/>
    <w:p/>
    <w:p>
      <w:pPr>
        <w:jc w:val="center"/>
      </w:pPr>
      <w:r>
        <w:rPr>
          <w:b/>
          <w:sz w:val="28"/>
        </w:rPr>
        <w:t>АВТОМАТИЗОВАНА СИСТЕМА</w:t>
      </w:r>
    </w:p>
    <w:p>
      <w:pPr>
        <w:jc w:val="center"/>
      </w:pPr>
      <w:r>
        <w:rPr>
          <w:b/>
          <w:sz w:val="32"/>
        </w:rPr>
        <w:t>«Комплект із трьох самостійних продуктів для ОЕС України»</w:t>
      </w:r>
    </w:p>
    <w:p>
      <w:pPr>
        <w:jc w:val="center"/>
      </w:pPr>
      <w:r>
        <w:rPr>
          <w:b w:val="0"/>
          <w:sz w:val="24"/>
        </w:rPr>
        <w:t>(3П ОЕС)</w:t>
      </w:r>
    </w:p>
    <w:p>
      <w:pPr>
        <w:jc w:val="center"/>
      </w:pPr>
      <w:r>
        <w:rPr>
          <w:b w:val="0"/>
          <w:sz w:val="24"/>
        </w:rPr>
      </w:r>
    </w:p>
    <w:p>
      <w:pPr>
        <w:jc w:val="center"/>
      </w:pPr>
      <w:r>
        <w:rPr>
          <w:b/>
          <w:sz w:val="30"/>
        </w:rPr>
        <w:t>ЕКОНОМІЧНЕ ОБҐРУНТУВАННЯ</w:t>
        <w:br/>
        <w:t>(ROI / Business Case)</w:t>
      </w:r>
    </w:p>
    <w:p/>
    <w:p/>
    <w:p>
      <w:pPr>
        <w:jc w:val="center"/>
      </w:pPr>
      <w:r>
        <w:rPr>
          <w:sz w:val="22"/>
        </w:rPr>
        <w:t>Позначення документа: UE-3PROD.ROI</w:t>
      </w:r>
    </w:p>
    <w:p>
      <w:pPr>
        <w:jc w:val="center"/>
      </w:pPr>
      <w:r>
        <w:rPr>
          <w:sz w:val="22"/>
        </w:rPr>
        <w:t>Кількість аркушів: ____</w:t>
      </w:r>
    </w:p>
    <w:p>
      <w:pPr>
        <w:jc w:val="center"/>
      </w:pPr>
      <w:r>
        <w:rPr>
          <w:sz w:val="22"/>
        </w:rPr>
        <w:t>Редакція: 1.0</w:t>
      </w:r>
    </w:p>
    <w:p/>
    <w:p/>
    <w:p>
      <w:pPr>
        <w:ind w:firstLine="0"/>
        <w:jc w:val="center"/>
      </w:pPr>
      <w:r>
        <w:rPr>
          <w:b/>
          <w:sz w:val="22"/>
        </w:rPr>
        <w:t>ПРИВАТНЕ АКЦІОНЕРНЕ ТОВАРИСТВО «НАЦІОНАЛЬНА ЕНЕРГЕТИЧНА КОМПАНІЯ «УКРЕНЕРГО»</w:t>
      </w:r>
    </w:p>
    <w:p>
      <w:pPr>
        <w:ind w:firstLine="0"/>
        <w:jc w:val="center"/>
      </w:pPr>
      <w:r>
        <w:rPr>
          <w:i/>
          <w:sz w:val="20"/>
        </w:rPr>
        <w:t>Замовник: ПрАТ «НЕК «УКРЕНЕРГО» · код ЄДРПОУ 00100227 · 01032, м. Київ, вул. Симона Петлюри, 25</w:t>
      </w:r>
    </w:p>
    <w:p/>
    <w:p/>
    <w:p>
      <w:pPr>
        <w:ind w:firstLine="0"/>
        <w:jc w:val="center"/>
      </w:pPr>
      <w:r>
        <w:rPr>
          <w:sz w:val="24"/>
        </w:rPr>
        <w:t>Київ</w:t>
      </w:r>
    </w:p>
    <w:p>
      <w:pPr>
        <w:ind w:firstLine="0"/>
        <w:jc w:val="center"/>
      </w:pPr>
      <w:r>
        <w:rPr>
          <w:sz w:val="24"/>
        </w:rPr>
        <w:t>2026</w:t>
      </w:r>
    </w:p>
    <w:p>
      <w:r>
        <w:br w:type="page"/>
      </w:r>
    </w:p>
    <w:p>
      <w:pPr>
        <w:pStyle w:val="Heading1"/>
      </w:pPr>
      <w:r>
        <w:t>Економічне обґрунтування (Business Case / ROI)</w:t>
      </w:r>
    </w:p>
    <w:p>
      <w:pPr>
        <w:pStyle w:val="Heading2"/>
      </w:pPr>
      <w:r>
        <w:t>Продукт №1 «Управління ризиками безпеки та прогноз загроз» для ПрАТ «НЕК «УКРЕНЕРГО»</w:t>
      </w:r>
    </w:p>
    <w:p/>
    <w:p>
      <w:r>
        <w:t>Замовник: ПрАТ «НЕК «УКРЕНЕРГО», ЄДРПОУ 00100227, 01032, м. Київ, вул. Симона Петлюри, 25</w:t>
      </w:r>
    </w:p>
    <w:p>
      <w:r>
        <w:t>Аудиторія документа: Фінансовий директор (CFO), фінансовий контролер, НКРЕКП</w:t>
      </w:r>
    </w:p>
    <w:p>
      <w:r>
        <w:t>Валюта розрахунків: грн та USD; курс перерахунку 42 грн/$ (зафіксований для всіх розрахунків нижче)</w:t>
      </w:r>
    </w:p>
    <w:p>
      <w:r>
        <w:t>Горизонт оцінки: 5 років</w:t>
      </w:r>
    </w:p>
    <w:p>
      <w:r>
        <w:t>Статус: документ для прийняття інвестиційного рішення</w:t>
      </w:r>
    </w:p>
    <w:p/>
    <w:p>
      <w:pPr>
        <w:ind w:left="454"/>
      </w:pPr>
      <w:r>
        <w:rPr>
          <w:i/>
        </w:rPr>
        <w:t>Застереження щодо джерел даних. Частина базових величин нижче — це дані Замовника або офіційні рішення НКРЕКП; частина — зовнішні проксі (мережа європейських системних операторів передачі, галузеві бенчмарки), застосовані за відсутності у відкритому доступі точної цифри Укренерго. Кожен показник явно позначено як [дані Замовника], [офіційне джерело] або [проксі / потребує заміни даними Замовника]. Там, де обґрунтування є експертною оцінкою, це сказано прямо словами «експертна оцінка», без підміни сторонніми відсотками.</w:t>
      </w:r>
    </w:p>
    <w:p/>
    <w:p/>
    <w:p>
      <w:pPr>
        <w:pStyle w:val="Heading2"/>
      </w:pPr>
      <w:r>
        <w:t>1. Резюме для керівництва (Executive Summary)</w:t>
      </w:r>
    </w:p>
    <w:p/>
    <w:p>
      <w:r>
        <w:t>Документ відповідає на питання CFO: «Що ми отримуємо за ці гроші і коли вони повертаються?» Усі вигоди наведено за нижньою планкою; ключові припущення позначено міткою [ПРИПУЩЕННЯ]; там, де прямий ROI слабкий, це зазначено явно.</w:t>
      </w:r>
    </w:p>
    <w:p/>
    <w:p>
      <w:r>
        <w:t>Предмет цього документа — Продукт №1 «Управління ризиками безпеки та прогноз загроз». Це саме той продукт, який Замовник визначив пріоритетним; він уже реалізований у вигляді робочого демо (див. розд. 11). Продукт №1 окуповується прямими грошима і є головним інвестиційним рішенням цієї пропозиції.</w:t>
      </w:r>
    </w:p>
    <w:p/>
    <w:p>
      <w:r>
        <w:t>Поряд із ним Замовник за окремим запитом може отримати ще два самостійні продукти — кожен як окремий проект із власним технічним завданням, бюджетом і додатковим узгодженням (розд. 5–6). Жоден із них не є умовою для №1; №1 — повноцінний продукт сам по собі.</w:t>
      </w:r>
    </w:p>
    <w:p/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  <w:gridCol w:w="1440"/>
        <w:gridCol w:w="1440"/>
        <w:gridCol w:w="1440"/>
      </w:tblGrid>
      <w:tr>
        <w:tc>
          <w:tcPr>
            <w:tcW w:type="dxa" w:w="1440"/>
          </w:tcPr>
          <w:p>
            <w:r>
              <w:rPr>
                <w:b/>
                <w:sz w:val="20"/>
              </w:rPr>
              <w:t>Продукт</w:t>
            </w:r>
          </w:p>
        </w:tc>
        <w:tc>
          <w:tcPr>
            <w:tcW w:type="dxa" w:w="1440"/>
          </w:tcPr>
          <w:p>
            <w:r>
              <w:rPr>
                <w:b/>
                <w:sz w:val="20"/>
              </w:rPr>
              <w:t>Суть</w:t>
            </w:r>
          </w:p>
        </w:tc>
        <w:tc>
          <w:tcPr>
            <w:tcW w:type="dxa" w:w="1440"/>
          </w:tcPr>
          <w:p>
            <w:r>
              <w:rPr>
                <w:b/>
                <w:sz w:val="20"/>
              </w:rPr>
              <w:t>Ціна (повна)</w:t>
            </w:r>
          </w:p>
        </w:tc>
        <w:tc>
          <w:tcPr>
            <w:tcW w:type="dxa" w:w="1440"/>
          </w:tcPr>
          <w:p>
            <w:r>
              <w:rPr>
                <w:b/>
                <w:sz w:val="20"/>
              </w:rPr>
              <w:t>MVP</w:t>
            </w:r>
          </w:p>
        </w:tc>
        <w:tc>
          <w:tcPr>
            <w:tcW w:type="dxa" w:w="1440"/>
          </w:tcPr>
          <w:p>
            <w:r>
              <w:rPr>
                <w:b/>
                <w:sz w:val="20"/>
              </w:rPr>
              <w:t>Окупність (базовий сценарій, без OPEX/ramp-up)</w:t>
            </w:r>
          </w:p>
        </w:tc>
        <w:tc>
          <w:tcPr>
            <w:tcW w:type="dxa" w:w="1440"/>
          </w:tcPr>
          <w:p>
            <w:r>
              <w:rPr>
                <w:b/>
                <w:sz w:val="20"/>
              </w:rPr>
              <w:t>Характер вигоди</w:t>
            </w:r>
          </w:p>
        </w:tc>
      </w:tr>
      <w:tr>
        <w:tc>
          <w:tcPr>
            <w:tcW w:type="dxa" w:w="1440"/>
          </w:tcPr>
          <w:p>
            <w:r>
              <w:rPr>
                <w:sz w:val="20"/>
              </w:rPr>
              <w:t>№1 — Управління ризиками безпеки та прогноз загроз (ГЕРОЙ, готове демо)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Цифровий двійник фізики мережі: раннє виявлення аномалій і упереджувальна реакція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$26.9М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$10.8М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~1.9 року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Прямий ROI (захист обладнання)</w:t>
            </w:r>
          </w:p>
        </w:tc>
      </w:tr>
      <w:tr>
        <w:tc>
          <w:tcPr>
            <w:tcW w:type="dxa" w:w="1440"/>
          </w:tcPr>
          <w:p>
            <w:r>
              <w:rPr>
                <w:sz w:val="20"/>
              </w:rPr>
              <w:t>№2 — Аналіз маніпуляцій на ринку «на добу наперед» / «внутрішньодобовому» (РСВ/ВСР)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Окремий продукт, дешевший за №1: автоматизація нагляду за ринком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$15.1М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—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~4.7 року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Комплаєнс-driven (слабкий прямий ROI)</w:t>
            </w:r>
          </w:p>
        </w:tc>
      </w:tr>
      <w:tr>
        <w:tc>
          <w:tcPr>
            <w:tcW w:type="dxa" w:w="1440"/>
          </w:tcPr>
          <w:p>
            <w:r>
              <w:rPr>
                <w:sz w:val="20"/>
              </w:rPr>
              <w:t>№3 — Прогноз технологічних втрат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Окремий продукт, найбільш готовий (база облэнерго): прогнозна аналітика втрат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$9.1М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—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~2.0 року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Прямий ROI (зниження втрат)</w:t>
            </w:r>
          </w:p>
        </w:tc>
      </w:tr>
    </w:tbl>
    <w:p/>
    <w:p/>
    <w:p>
      <w:pPr>
        <w:ind w:left="454"/>
      </w:pPr>
      <w:r>
        <w:rPr>
          <w:i/>
        </w:rPr>
        <w:t>Окупності в таблиці вище — це «чистий payback» по CAPEX без урахування OPEX і періоду впровадження. Реалістичні payback з урахуванням 18 міс. ramp-up та річного OPEX наведено в розд. 8.1 і є помітно гіршими — ми показуємо обидві цифри.</w:t>
      </w:r>
    </w:p>
    <w:p/>
    <w:p>
      <w:r>
        <w:t>Головний висновок: за базовими припущеннями Продукт №1 окуповується прямими грошима в межах горизонту навіть з урахуванням впровадження та OPEX (розд. 8.1) — і саме він уже готовий до показу. Продукт №3 також має прямий ROI. Продукт №2 за прямим ROI слабкий — його обґрунтування регуляторне (REMIT — Регламент про доброчесність і прозорість оптового енергоринку, інтеграційні зобов'язання перед мережею європейських системних операторів передачі), а не фінансове.</w:t>
      </w:r>
    </w:p>
    <w:p/>
    <w:p>
      <w:r>
        <w:t>Модель придбання. Кожен продукт продається разово, з повною передачею у власність Замовника і правом експлуатації без технологічної залежності від розробника (умови — розд. 1.1). Базою для CFO є три окремі продукти (Модель A). Опційно, не зараз і не обов'язково, три продукти можна згодом звʼязати спільною шиною у єдину платформу (Модель B) — це винесено в розд. 9.1 як можливість на майбутнє.</w:t>
      </w:r>
    </w:p>
    <w:p/>
    <w:p>
      <w:pPr>
        <w:pStyle w:val="Heading3"/>
      </w:pPr>
      <w:r>
        <w:t>1.1 Умови передачі прав (обовʼязкові для кожного продукту)</w:t>
      </w:r>
    </w:p>
    <w:p/>
    <w:p>
      <w:pPr>
        <w:pStyle w:val="ListBullet"/>
      </w:pPr>
      <w:r>
        <w:t>Авторські права та передача коду. Замовнику передається у повну власність програмний продукт та вихідний код із правом експлуатації, модифікації та подальшого розвитку без технологічної залежності від розробника. Водночас авторські права, методологія, алгоритми та ноу-хау залишаються за розробником і можуть використовуватися ним для створення нових продуктів і модулів. Замовник отримує невиключне безстрокове право користування цими алгоритмами у складі переданого продукту.</w:t>
      </w:r>
    </w:p>
    <w:p>
      <w:pPr>
        <w:pStyle w:val="ListBullet"/>
      </w:pPr>
      <w:r>
        <w:t>Повна передача без подальших зобов'язань. Передача є остаточною. Замовник вільний залучити будь-якого іншого виконавця для подальшого супроводу та розвитку продукту. Відсутній vendor lock-in. Розробник не зобовʼязаний здійснювати подальший супровід; супровід — окрема домовленість за бажанням Замовника.</w:t>
      </w:r>
    </w:p>
    <w:p>
      <w:pPr>
        <w:pStyle w:val="ListBullet"/>
      </w:pPr>
      <w:r>
        <w:t>Окремий проект. Кожен із трьох продуктів — самостійний проект із власним технічним завданням, окремим бюджетом і окремим додатковим узгодженням.</w:t>
      </w:r>
    </w:p>
    <w:p/>
    <w:p/>
    <w:p>
      <w:pPr>
        <w:pStyle w:val="Heading2"/>
      </w:pPr>
      <w:r>
        <w:t>2. Baseline: скільки коштує «нічого не робити»</w:t>
      </w:r>
    </w:p>
    <w:p/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  <w:sz w:val="20"/>
              </w:rPr>
              <w:t>Параметр статус-кво</w:t>
            </w:r>
          </w:p>
        </w:tc>
        <w:tc>
          <w:tcPr>
            <w:tcW w:type="dxa" w:w="2880"/>
          </w:tcPr>
          <w:p>
            <w:r>
              <w:rPr>
                <w:b/>
                <w:sz w:val="20"/>
              </w:rPr>
              <w:t>Значення</w:t>
            </w:r>
          </w:p>
        </w:tc>
        <w:tc>
          <w:tcPr>
            <w:tcW w:type="dxa" w:w="2880"/>
          </w:tcPr>
          <w:p>
            <w:r>
              <w:rPr>
                <w:b/>
                <w:sz w:val="20"/>
              </w:rPr>
              <w:t>Джерело / характер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Чистий збиток Укренерго за 2024 р.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37.7 млрд грн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[дані Замовника] фінзвіт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Прямі збитки інфраструктури передачі (війна)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$2.1 млрд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[проксі] оцінка KSE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Збиток обладнанню від атаки 22.03.2024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90–100 млн EUR (~4 000 млн грн)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[офіційне джерело] одна задокументована подія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Кількість хвиль масштабних атак на енергоінфраструктуру, бер.–серп. 2024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9 хвиль за 6 міс.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[офіційне джерело] Міненерго (див. розд. 4.2)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Компенсація технологічних втрат у тарифі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~11 млрд грн/рік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[потребує підтвердження] закладено в тариф; реквізити постанови — нижче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Інвестпрограма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~4.36 млрд грн/рік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[дані Замовника]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Оборот спотового ринку 2024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27.5 ТВт·год ≈ 134 млрд грн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[дані ринку]</w:t>
            </w:r>
          </w:p>
        </w:tc>
      </w:tr>
    </w:tbl>
    <w:p/>
    <w:p/>
    <w:p>
      <w:pPr>
        <w:ind w:left="454"/>
      </w:pPr>
      <w:r>
        <w:rPr>
          <w:i/>
        </w:rPr>
        <w:t>Реквізити, які потрібно підставити Замовнику перед подачею. Тариф на передачу та компенсацію втрат встановлено постановою НКРЕКП «Про встановлення тарифу на послуги з передачі електричної енергії НЕК «УКРЕНЕРГО» на відповідний рік» (nerc.gov.ua, розділ тарифів). Точний номер і дату постанови, а також рядок «компенсація технологічних втрат» у структурі тарифу Замовник підставляє з власного тарифного рішення — ми навмисно не вигадуємо номер справи.</w:t>
      </w:r>
    </w:p>
    <w:p/>
    <w:p>
      <w:r>
        <w:t>Читання baseline для CFO. Збитки рахуються мільярдами гривень на рік. Капітальні вкладення в захист і прозорість мережі — десятки мільйонів доларів, тобто на порядок-два менше за масштаб ризику. Питання не «чи дорого», а «який відсоток наявного збитку відводимо і з якою ймовірністю».</w:t>
      </w:r>
    </w:p>
    <w:p/>
    <w:p/>
    <w:p>
      <w:pPr>
        <w:pStyle w:val="Heading2"/>
      </w:pPr>
      <w:r>
        <w:t>3. Методологія розрахунку ROI</w:t>
      </w:r>
    </w:p>
    <w:p/>
    <w:p>
      <w:pPr>
        <w:pStyle w:val="ListNumber"/>
      </w:pPr>
      <w:r>
        <w:t>Базовий сценарій береться як точка прийняття рішення; оптимістичний — upside.</w:t>
      </w:r>
    </w:p>
    <w:p>
      <w:pPr>
        <w:pStyle w:val="ListNumber"/>
      </w:pPr>
      <w:r>
        <w:t>Три сценарії на продукт: песимістичний = ½ базової вигоди; базовий = вигода за явним припущенням; оптимістичний = ×2 базової.</w:t>
      </w:r>
    </w:p>
    <w:p>
      <w:pPr>
        <w:pStyle w:val="ListNumber"/>
      </w:pPr>
      <w:r>
        <w:t>Кожне ключове припущення позначене [ПРИПУЩЕННЯ] з обґрунтуванням (факт → джерело → розрахунок).</w:t>
      </w:r>
    </w:p>
    <w:p>
      <w:pPr>
        <w:pStyle w:val="ListNumber"/>
      </w:pPr>
      <w:r>
        <w:t>Дисконтування. На вимогу рецензента ми відмовилися від недисконтованого «чистого кумулятиву» як вигляду результату. Замість цього в розд. 9 наведено NPV при трьох показових ставках — 12% / 18% / 24% (реалістичний діапазон вартості капіталу для України). Це показує, за якої ставки кожен продукт перетинає нуль.</w:t>
      </w:r>
    </w:p>
    <w:p>
      <w:pPr>
        <w:pStyle w:val="ListNumber"/>
      </w:pPr>
      <w:r>
        <w:t>OPEX і ramp-up (раніше відсутні) додано в розд. 8.1: річний OPEX і 18-місячний вихід на повну вигоду включені в «реалістичний payback».</w:t>
      </w:r>
    </w:p>
    <w:p>
      <w:pPr>
        <w:pStyle w:val="ListNumber"/>
      </w:pPr>
      <w:r>
        <w:t>Продукт №1 рахується ймовірнісно (частота × тяжкість × відведення), а не як «одна подія = щорічна вигода» — це ключова зміна порівняно з попередньою редакцією (розд. 4).</w:t>
      </w:r>
    </w:p>
    <w:p>
      <w:pPr>
        <w:pStyle w:val="ListNumber"/>
      </w:pPr>
      <w:r>
        <w:t>VoLL / ENS-upside (вартість недовідпущеної енергії) у базовий рахунок №1 не включено — запас консервативності.</w:t>
      </w:r>
    </w:p>
    <w:p/>
    <w:p/>
    <w:p>
      <w:pPr>
        <w:pStyle w:val="Heading2"/>
      </w:pPr>
      <w:r>
        <w:t>4. Продукт №1 — Управління ризиками безпеки та прогноз загроз (ГЕРОЙ, готове демо)</w:t>
      </w:r>
    </w:p>
    <w:p/>
    <w:p>
      <w:pPr>
        <w:pStyle w:val="Heading3"/>
      </w:pPr>
      <w:r>
        <w:t>4.1 Що це</w:t>
      </w:r>
    </w:p>
    <w:p>
      <w:r>
        <w:t>Продукт №1 — цифровий двійник фізики мережі: він моделює фізичну поведінку мережі в реальному часі для раннього виявлення аномалій і упереджувальної реакції на загрози. Це саме той продукт, який Замовник визначив пріоритетним, і він уже реалізований у вигляді робочого демо (розд. 11). Продукти №2 і №3 — аналітика, не двійники.</w:t>
      </w:r>
    </w:p>
    <w:p/>
    <w:p>
      <w:pPr>
        <w:pStyle w:val="Heading3"/>
      </w:pPr>
      <w:r>
        <w:t>4.2 База розрахунку — ймовірнісна модель (частота × тяжкість × відведення)</w:t>
      </w:r>
    </w:p>
    <w:p/>
    <w:p>
      <w:r>
        <w:t>Попередня редакція брала одну подію 22.03.2024 (90–100 млн EUR) і трактувала її як щорічну повторювану вигоду. Це методологічно некоректно: payback розсипається, якщо за 5 років станеться одна-дві такі події, а не п'ять. Нижче — виправлена ймовірнісна модель.</w:t>
      </w:r>
    </w:p>
    <w:p/>
    <w:p>
      <w:r>
        <w:t>(а) Частота подій збитку обладнанню. За даними Міненерго, лише з березня по серпень 2024 р. відбулося 9 хвиль масштабних і комплексних атак на енергоінфраструктуру; з 2022 р. підстанції Укренерго зазнали понад 900 ударів, окремі — понад 30 кожна; станом на квітень 2023 р. було пошкоджено 42 з 95 високовольтних трансформаторів. Тобто події збитку обладнанню, зіставні за тяжкістю з 22.03.2024, — не рідкісні «раз на кілька років», а регулярні.</w:t>
      </w:r>
    </w:p>
    <w:p/>
    <w:p>
      <w:pPr>
        <w:ind w:left="454"/>
      </w:pPr>
      <w:r>
        <w:rPr>
          <w:i/>
        </w:rPr>
        <w:t>[ПРИПУЩЕННЯ №1 — частота] Для базового сценарію беремо 1 подію збитку обладнанню рівня 22.03.2024 на рік (експертна оцінка, навмисно нижча за фактичну частоту масштабних хвиль 2024 р.). Песимістичний сценарій — 0.5 події/рік (одна велика подія раз на два роки); оптимістичний — 2 події/рік (все ще нижче за фактичні 9 хвиль за півроку 2024). Це робить «щорічність» вигоди явним, перевірюваним припущенням, а не прихованим.</w:t>
      </w:r>
    </w:p>
    <w:p/>
    <w:p>
      <w:r>
        <w:t>(б) Середня тяжкість події = 4 000 млн грн (нижня межа діапазону 90–100 млн EUR за подією 22.03.2024). [офіційне джерело]</w:t>
      </w:r>
    </w:p>
    <w:p/>
    <w:p>
      <w:r>
        <w:t>(в) Частка відведення збитку двійником.</w:t>
      </w:r>
    </w:p>
    <w:p/>
    <w:p>
      <w:pPr>
        <w:ind w:left="454"/>
      </w:pPr>
      <w:r>
        <w:rPr>
          <w:i/>
        </w:rPr>
        <w:t>[ПРИПУЩЕННЯ №1 — відведення] Беремо 15% відведеного збитку (раннє виявлення аномалій, упереджувальне відключення, оптимальна реакція). Це експертна оцінка, а не виміряна величина. Орієнтир із галузі: системи онлайн-моніторингу та раннього виявлення дефектів силового обладнання (трансформатори, вимикачі) у літературі з predictive maintenance асоціюються з помітним зниженням частки раптових відмов, проте публічного, прямо зіставного з воєнним сценарієм відсотка немає. Тому 15% подано саме як консервативну експертну оцінку, а песимістичний/оптимістичний сценарії (7.5% / 30%) показують чутливість до неї.</w:t>
      </w:r>
    </w:p>
    <w:p/>
    <w:p>
      <w:pPr>
        <w:pStyle w:val="Heading3"/>
      </w:pPr>
      <w:r>
        <w:t>4.3 Три сценарії №1 (частота × тяжкість × відведення)</w:t>
      </w:r>
    </w:p>
    <w:p/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  <w:gridCol w:w="1440"/>
        <w:gridCol w:w="1440"/>
        <w:gridCol w:w="1440"/>
      </w:tblGrid>
      <w:tr>
        <w:tc>
          <w:tcPr>
            <w:tcW w:type="dxa" w:w="1440"/>
          </w:tcPr>
          <w:p>
            <w:r>
              <w:rPr>
                <w:b/>
                <w:sz w:val="20"/>
              </w:rPr>
              <w:t>Сценарій</w:t>
            </w:r>
          </w:p>
        </w:tc>
        <w:tc>
          <w:tcPr>
            <w:tcW w:type="dxa" w:w="1440"/>
          </w:tcPr>
          <w:p>
            <w:r>
              <w:rPr>
                <w:b/>
                <w:sz w:val="20"/>
              </w:rPr>
              <w:t>Частота, події/рік</w:t>
            </w:r>
          </w:p>
        </w:tc>
        <w:tc>
          <w:tcPr>
            <w:tcW w:type="dxa" w:w="1440"/>
          </w:tcPr>
          <w:p>
            <w:r>
              <w:rPr>
                <w:b/>
                <w:sz w:val="20"/>
              </w:rPr>
              <w:t>Тяжкість, млн грн</w:t>
            </w:r>
          </w:p>
        </w:tc>
        <w:tc>
          <w:tcPr>
            <w:tcW w:type="dxa" w:w="1440"/>
          </w:tcPr>
          <w:p>
            <w:r>
              <w:rPr>
                <w:b/>
                <w:sz w:val="20"/>
              </w:rPr>
              <w:t>Відведення</w:t>
            </w:r>
          </w:p>
        </w:tc>
        <w:tc>
          <w:tcPr>
            <w:tcW w:type="dxa" w:w="1440"/>
          </w:tcPr>
          <w:p>
            <w:r>
              <w:rPr>
                <w:b/>
                <w:sz w:val="20"/>
              </w:rPr>
              <w:t>Очікувана річна вигода</w:t>
            </w:r>
          </w:p>
        </w:tc>
        <w:tc>
          <w:tcPr>
            <w:tcW w:type="dxa" w:w="1440"/>
          </w:tcPr>
          <w:p>
            <w:r>
              <w:rPr>
                <w:b/>
                <w:sz w:val="20"/>
              </w:rPr>
              <w:t>Окупність (CAPEX $26.9М ≈ 1 130 млн грн)</w:t>
            </w:r>
          </w:p>
        </w:tc>
      </w:tr>
      <w:tr>
        <w:tc>
          <w:tcPr>
            <w:tcW w:type="dxa" w:w="1440"/>
          </w:tcPr>
          <w:p>
            <w:r>
              <w:rPr>
                <w:sz w:val="20"/>
              </w:rPr>
              <w:t>Песимістичний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0.5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4 000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7.5%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~150 млн грн/рік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~7.5 року</w:t>
            </w:r>
          </w:p>
        </w:tc>
      </w:tr>
      <w:tr>
        <w:tc>
          <w:tcPr>
            <w:tcW w:type="dxa" w:w="1440"/>
          </w:tcPr>
          <w:p>
            <w:r>
              <w:rPr>
                <w:sz w:val="20"/>
              </w:rPr>
              <w:t>Базовий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1.0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4 000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15%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~600 млн грн/рік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~1.9 року</w:t>
            </w:r>
          </w:p>
        </w:tc>
      </w:tr>
      <w:tr>
        <w:tc>
          <w:tcPr>
            <w:tcW w:type="dxa" w:w="1440"/>
          </w:tcPr>
          <w:p>
            <w:r>
              <w:rPr>
                <w:sz w:val="20"/>
              </w:rPr>
              <w:t>Оптимістичний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2.0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4 000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30%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~2 400 млн грн/рік</w:t>
            </w:r>
          </w:p>
        </w:tc>
        <w:tc>
          <w:tcPr>
            <w:tcW w:type="dxa" w:w="1440"/>
          </w:tcPr>
          <w:p>
            <w:r>
              <w:rPr>
                <w:sz w:val="20"/>
              </w:rPr>
              <w:t>~0.5 року</w:t>
            </w:r>
          </w:p>
        </w:tc>
      </w:tr>
    </w:tbl>
    <w:p/>
    <w:p/>
    <w:p>
      <w:pPr>
        <w:ind w:left="454"/>
      </w:pPr>
      <w:r>
        <w:rPr>
          <w:i/>
        </w:rPr>
        <w:t>Базовий: 1 × 4 000 × 15% = 600 млн грн/рік → 1 130 ÷ 600 ≈ 1.9 року. Важливо: на відміну від попередньої редакції, песимістичний сценарій тепер враховує і нижчу частоту (0.5/рік), і нижче відведення (7.5%) — і в ньому №1 не окуповується за 5 років (~7.5 року). Тобто стійкість №1 залежить від припущення, що велика подія трапляється приблизно щороку. Це чесна межа: за частоти суттєво нижчої ніж 1 подія/рік прямий ROI №1 слабшає. Фактична статистика 2022–2024 рр. підтримує частоту ≥1/рік, але це залежить від перебігу війни і не гарантовано на весь 5-річний горизонт.</w:t>
      </w:r>
    </w:p>
    <w:p/>
    <w:p>
      <w:pPr>
        <w:pStyle w:val="Heading3"/>
      </w:pPr>
      <w:r>
        <w:t>4.4 5-річний потік №1 — див. NPV у розд. 9 (недисконтований «чистий кумулятив» прибрано)</w:t>
      </w:r>
    </w:p>
    <w:p/>
    <w:p>
      <w:r>
        <w:t>Запас консервативності: ENS-upside (VoLL — вартість недовідпущеної енергії під час блекаутів) не враховано.</w:t>
      </w:r>
    </w:p>
    <w:p/>
    <w:p/>
    <w:p>
      <w:pPr>
        <w:pStyle w:val="Heading2"/>
      </w:pPr>
      <w:r>
        <w:t>5. Продукт №2 — Аналіз маніпуляцій на ринку РСВ/ВСР (окремий продукт, дешевший за №1)</w:t>
      </w:r>
    </w:p>
    <w:p/>
    <w:p>
      <w:pPr>
        <w:ind w:left="454"/>
      </w:pPr>
      <w:r>
        <w:rPr>
          <w:i/>
        </w:rPr>
        <w:t>Рамкування. Продукт №2 — окремий, самостійний проект, який Замовник може замовити за запитом. Він дешевший за Продукт №1 ($15.1М проти $26.9М) і реалізується «точно так само», як №1 — окремим проектом із власним ТЗ, бюджетом і додатковим узгодженням. Це не доповнення до №1 і не його умова.</w:t>
      </w:r>
    </w:p>
    <w:p/>
    <w:p>
      <w:pPr>
        <w:pStyle w:val="Heading3"/>
      </w:pPr>
      <w:r>
        <w:t>5.1 Прямий ROI слабкий</w:t>
      </w:r>
    </w:p>
    <w:p>
      <w:r>
        <w:t>№2 — автоматизація нагляду за ринком (система виявлення зловживань на енергоринку, клас провідних світових систем ринкового нагляду). За прямим грошовим ROI це найслабший продукт пропозиції.</w:t>
      </w:r>
    </w:p>
    <w:p/>
    <w:p>
      <w:pPr>
        <w:pStyle w:val="Heading3"/>
      </w:pPr>
      <w:r>
        <w:t>5.2 База розрахунку</w:t>
      </w:r>
    </w:p>
    <w:p>
      <w:r>
        <w:t>Оборот спотового ринку 2024 = 27.5 ТВт·год ≈ 134 млрд грн.</w:t>
      </w:r>
    </w:p>
    <w:p/>
    <w:p>
      <w:pPr>
        <w:ind w:left="454"/>
      </w:pPr>
      <w:r>
        <w:rPr>
          <w:i/>
        </w:rPr>
        <w:t>[ПРИПУЩЕННЯ №2] Система виявлення маніпуляцій захищає 0.1% обороту від втрат через зловживання. Це експертна оцінка нижньої межі. 134 млрд × 0.1% = 134 млн грн/рік.</w:t>
      </w:r>
    </w:p>
    <w:p/>
    <w:p>
      <w:pPr>
        <w:pStyle w:val="Heading3"/>
      </w:pPr>
      <w:r>
        <w:t>5.3 Три сценарії №2</w:t>
      </w:r>
    </w:p>
    <w:p/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b/>
                <w:sz w:val="20"/>
              </w:rPr>
              <w:t>Сценарій</w:t>
            </w:r>
          </w:p>
        </w:tc>
        <w:tc>
          <w:tcPr>
            <w:tcW w:type="dxa" w:w="2160"/>
          </w:tcPr>
          <w:p>
            <w:r>
              <w:rPr>
                <w:b/>
                <w:sz w:val="20"/>
              </w:rPr>
              <w:t>Захист обороту</w:t>
            </w:r>
          </w:p>
        </w:tc>
        <w:tc>
          <w:tcPr>
            <w:tcW w:type="dxa" w:w="2160"/>
          </w:tcPr>
          <w:p>
            <w:r>
              <w:rPr>
                <w:b/>
                <w:sz w:val="20"/>
              </w:rPr>
              <w:t>Річна вигода</w:t>
            </w:r>
          </w:p>
        </w:tc>
        <w:tc>
          <w:tcPr>
            <w:tcW w:type="dxa" w:w="2160"/>
          </w:tcPr>
          <w:p>
            <w:r>
              <w:rPr>
                <w:b/>
                <w:sz w:val="20"/>
              </w:rPr>
              <w:t>Окупність (CAPEX $15.1М ≈ 634 млн грн)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Песимістичний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0.05%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~67 млн грн/рік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~9.5 року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Базовий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0.1%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~134 млн грн/рік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~4.7 року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Оптимістичний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0.2%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~268 млн грн/рік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~2.4 року</w:t>
            </w:r>
          </w:p>
        </w:tc>
      </w:tr>
    </w:tbl>
    <w:p/>
    <w:p/>
    <w:p>
      <w:pPr>
        <w:ind w:left="454"/>
      </w:pPr>
      <w:r>
        <w:rPr>
          <w:i/>
        </w:rPr>
        <w:t>Застереження для CFO: payback №2 (~4.7 року) наближається до 5-річного горизонту. Як показано в розд. 9, NPV №2 при ставці 18% і вище є від'ємним. Тому №2 не продається через прямий ROI.</w:t>
      </w:r>
    </w:p>
    <w:p/>
    <w:p>
      <w:pPr>
        <w:pStyle w:val="Heading3"/>
      </w:pPr>
      <w:r>
        <w:t>5.4 Обґрунтування №2 — комплаєнс, не ROI</w:t>
      </w:r>
    </w:p>
    <w:p>
      <w:r>
        <w:t>№2 виправданий регуляторно:</w:t>
      </w:r>
    </w:p>
    <w:p/>
    <w:p>
      <w:pPr>
        <w:pStyle w:val="ListBullet"/>
      </w:pPr>
      <w:r>
        <w:t>REMIT (Регламент про доброчесність і прозорість оптового енергоринку). Закон України про впровадження REMIT (запобігання зловживанню на оптових енергоринках) прийнято; штрафні санкції застосовуються поетапно (з 01.11.2024 та з 01.02.2025 — у розмірі 50% від встановленого; гранична межа штрафу за маніпуляції — до 459 млн грн). Уточнення фактажу: станом на дату документа в Україні відкрито перше розслідування за REMIT (НКРЕКП щодо ознак зловживання на оптовому ринку — публічно фігурує справа ТОВ «Енергія-1»), проте підтвердженого фінального штрафу з номером рішення ми не маємо і тому НЕ стверджуємо, що «перший штраф уже накладено». Реквізити справи / рішення Замовник підставляє з офіційних публікацій НКРЕКП.</w:t>
      </w:r>
    </w:p>
    <w:p>
      <w:pPr>
        <w:pStyle w:val="ListBullet"/>
      </w:pPr>
      <w:r>
        <w:t>Вимога мережі європейських системних операторів передачі. Нагляд за ринком — частина зобов'язань інтеграції (Каталог заходів інтеграції, 28.06.2017, категорії «Експлуатація і ринки», «Правове та регуляторне поле»).</w:t>
      </w:r>
    </w:p>
    <w:p>
      <w:pPr>
        <w:pStyle w:val="ListBullet"/>
      </w:pPr>
      <w:r>
        <w:t>Ціна невідповідності — штрафи + регуляторний ризик, а не «недоотриманий прибуток».</w:t>
      </w:r>
    </w:p>
    <w:p/>
    <w:p>
      <w:r>
        <w:t>Висновок щодо №2: його правильна рамка — вартість дотримання обов'язкової вимоги за найнижчою ринковою ціною (якір: провідна світова система ринкового нагляду $77М проти $15.1М — у таблиці якорів розд. 10).</w:t>
      </w:r>
    </w:p>
    <w:p/>
    <w:p/>
    <w:p>
      <w:pPr>
        <w:pStyle w:val="Heading2"/>
      </w:pPr>
      <w:r>
        <w:t>6. Продукт №3 — Прогноз технологічних втрат (окремий продукт, найбільш готовий)</w:t>
      </w:r>
    </w:p>
    <w:p/>
    <w:p>
      <w:pPr>
        <w:ind w:left="454"/>
      </w:pPr>
      <w:r>
        <w:rPr>
          <w:i/>
        </w:rPr>
        <w:t>Рамкування. Продукт №3 — окремий, самостійний проект за запитом. Це найбільш готовий із трьох продуктів: він спирається на наявну базу даних обленерго. Реалізується «точно так само» окремим проектом із власним ТЗ, бюджетом і додатковим узгодженням.</w:t>
      </w:r>
    </w:p>
    <w:p/>
    <w:p>
      <w:pPr>
        <w:pStyle w:val="Heading3"/>
      </w:pPr>
      <w:r>
        <w:t>6.1 Що це</w:t>
      </w:r>
    </w:p>
    <w:p>
      <w:r>
        <w:t>№3 — прогнозна аналітика технологічних втрат: виявлення зон аномальних втрат, оптимізація режимів.</w:t>
      </w:r>
    </w:p>
    <w:p/>
    <w:p>
      <w:pPr>
        <w:pStyle w:val="Heading3"/>
      </w:pPr>
      <w:r>
        <w:t>6.2 База розрахунку</w:t>
      </w:r>
    </w:p>
    <w:p>
      <w:r>
        <w:t>Компенсація технологічних втрат у тарифі ≈ 11 млрд грн/рік [потребує підтвердження номером постанови НКРЕКП — див. розд. 2].</w:t>
      </w:r>
    </w:p>
    <w:p/>
    <w:p>
      <w:pPr>
        <w:ind w:left="454"/>
      </w:pPr>
      <w:r>
        <w:rPr>
          <w:i/>
        </w:rPr>
        <w:t>[ПРИПУЩЕННЯ №3] Аналітика знижує втрати на 2% відносно поточного рівня. 11 000 млн грн × 2% = ~190 млн грн/рік (округлено вниз).</w:t>
      </w:r>
    </w:p>
    <w:p>
      <w:r>
        <w:t>&gt;</w:t>
      </w:r>
    </w:p>
    <w:p>
      <w:pPr>
        <w:ind w:left="454"/>
      </w:pPr>
      <w:r>
        <w:rPr>
          <w:i/>
        </w:rPr>
        <w:t>Щодо бази втрат. Попередня редакція брала діапазон 1.5–2.5% як бенчмарк мережі європейських системних операторів передачі, прямо зазначаючи, що це не офіційна цифра Укренерго. Коректна дія перед подачею: підставити фактичний норматив технологічних втрат магістральних/міждержавних мереж Укренерго з тарифного рішення НКРЕКП (величина у грн компенсації — 11 млрд — і відповідний % втрат є у структурі тарифу та у фінзвітності Укренерго; ua.energy → Reporting). Доки цей % не підставлено, базою розрахунку №3 є сума компенсації 11 млрд грн (а не оспорюваний %), а відносне покращення 2% — експертна аналітична ціль.</w:t>
      </w:r>
    </w:p>
    <w:p/>
    <w:p>
      <w:pPr>
        <w:pStyle w:val="Heading3"/>
      </w:pPr>
      <w:r>
        <w:t>6.3 Три сценарії №3</w:t>
      </w:r>
    </w:p>
    <w:p/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b/>
                <w:sz w:val="20"/>
              </w:rPr>
              <w:t>Сценарій</w:t>
            </w:r>
          </w:p>
        </w:tc>
        <w:tc>
          <w:tcPr>
            <w:tcW w:type="dxa" w:w="2160"/>
          </w:tcPr>
          <w:p>
            <w:r>
              <w:rPr>
                <w:b/>
                <w:sz w:val="20"/>
              </w:rPr>
              <w:t>Зниження втрат</w:t>
            </w:r>
          </w:p>
        </w:tc>
        <w:tc>
          <w:tcPr>
            <w:tcW w:type="dxa" w:w="2160"/>
          </w:tcPr>
          <w:p>
            <w:r>
              <w:rPr>
                <w:b/>
                <w:sz w:val="20"/>
              </w:rPr>
              <w:t>Річна вигода</w:t>
            </w:r>
          </w:p>
        </w:tc>
        <w:tc>
          <w:tcPr>
            <w:tcW w:type="dxa" w:w="2160"/>
          </w:tcPr>
          <w:p>
            <w:r>
              <w:rPr>
                <w:b/>
                <w:sz w:val="20"/>
              </w:rPr>
              <w:t>Окупність (CAPEX $9.1М ≈ 382 млн грн)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Песимістичний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1%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~95 млн грн/рік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~4.0 року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Базовий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2%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~190 млн грн/рік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~2.0 року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Оптимістичний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4%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~380 млн грн/рік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~1.0 року</w:t>
            </w:r>
          </w:p>
        </w:tc>
      </w:tr>
    </w:tbl>
    <w:p/>
    <w:p/>
    <w:p/>
    <w:p>
      <w:pPr>
        <w:pStyle w:val="Heading2"/>
      </w:pPr>
      <w:r>
        <w:t>7. Стратегічний контекст: +500 МВт інтеграції (ілюстрація напрямку, не доказ)</w:t>
      </w:r>
    </w:p>
    <w:p/>
    <w:p>
      <w:pPr>
        <w:pStyle w:val="ListBullet"/>
      </w:pPr>
      <w:r>
        <w:t>16.03.2022 — аварійна синхронізація з мережею європейських системних операторів передачі.</w:t>
      </w:r>
    </w:p>
    <w:p>
      <w:pPr>
        <w:pStyle w:val="ListBullet"/>
      </w:pPr>
      <w:r>
        <w:t>14.12.2023 — повне членство.</w:t>
      </w:r>
    </w:p>
    <w:p>
      <w:pPr>
        <w:pStyle w:val="ListBullet"/>
      </w:pPr>
      <w:r>
        <w:t>28.11.2023 — рішення про збільшення торгової ємності з 1200 до 1700 МВт (+500 МВт).</w:t>
      </w:r>
    </w:p>
    <w:p/>
    <w:p>
      <w:r>
        <w:t>Чесна межа цього аргументу. Зростання +500 МВт зумовлене комплексом причин — фізичним станом мережі, успішністю синхронної роботи, регуляторними рішеннями, — а не конкретно IT-інвестицією класу запропонованих продуктів. У публічних рішеннях ми не маємо джерела, де IT/нагляд прямо названо умовою саме цього збільшення ємності. Тому:</w:t>
      </w:r>
    </w:p>
    <w:p/>
    <w:p>
      <w:pPr>
        <w:pStyle w:val="ListBullet"/>
      </w:pPr>
      <w:r>
        <w:t>Ми понижуємо цей пункт із «доведеного прецеденту» до ілюстрації напрямку: дотримання сукупності технічних і регуляторних вимог (куди входять і IT/кібербезпека, і нагляд за ринком — категорії Каталогу заходів від 28.06.2017) є передумовою доступу до торгової інтеграції та її розширення.</w:t>
      </w:r>
    </w:p>
    <w:p>
      <w:pPr>
        <w:pStyle w:val="ListBullet"/>
      </w:pPr>
      <w:r>
        <w:t>Ми не приписуємо +500 МВт цим продуктам і не монетизуємо їх у ROI жодного продукту.</w:t>
      </w:r>
    </w:p>
    <w:p/>
    <w:p>
      <w:pPr>
        <w:ind w:left="454"/>
      </w:pPr>
      <w:r>
        <w:rPr>
          <w:i/>
        </w:rPr>
        <w:t>[ПРИПУЩЕННЯ — навмисно не монетизуємо] Вартість +500 МВт не включається в ROI — щоб уникнути подвійного рахунку та приписування заслуги. Це контекст, а не рядок вигоди.</w:t>
      </w:r>
    </w:p>
    <w:p/>
    <w:p/>
    <w:p>
      <w:pPr>
        <w:pStyle w:val="Heading2"/>
      </w:pPr>
      <w:r>
        <w:t>8. Sensitivity-аналіз</w:t>
      </w:r>
    </w:p>
    <w:p/>
    <w:p>
      <w:pPr>
        <w:pStyle w:val="Heading3"/>
      </w:pPr>
      <w:r>
        <w:t>8.1 OPEX, ramp-up і ризик затримки впровадження</w:t>
      </w:r>
    </w:p>
    <w:p/>
    <w:p>
      <w:r>
        <w:t>Попередня редакція рахувала payback так, ніби CAPEX витрачається в Рік 0, а повна вигода тече з Року 1. Для продукту на десятки $М це нереалістично. Нижче — реалістичніша рамка.</w:t>
      </w:r>
    </w:p>
    <w:p/>
    <w:p>
      <w:pPr>
        <w:ind w:left="454"/>
      </w:pPr>
      <w:r>
        <w:rPr>
          <w:i/>
        </w:rPr>
        <w:t>[ПРИПУЩЕННЯ — OPEX] Річний OPEX (підтримка, ліцензії третіх сторін, персонал експлуатації, інфраструктура) приймається на рівні ~15% CAPEX/рік — це експертна оцінка за типовою практикою для систем такого класу; точну величину має підтвердити Замовник за моделлю володіння. Для Продукту №1 ($26.9М ≈ 1 130 млн грн) це ~170 млн грн/рік.</w:t>
      </w:r>
    </w:p>
    <w:p>
      <w:r>
        <w:t>&gt;</w:t>
      </w:r>
    </w:p>
    <w:p>
      <w:pPr>
        <w:ind w:left="454"/>
      </w:pPr>
      <w:r>
        <w:rPr>
          <w:i/>
        </w:rPr>
        <w:t>[ПРИПУЩЕННЯ — ramp-up] Вихід на повну вигоду — 18 місяців (Рік 1 — 0% вигоди під час впровадження; перші 6 міс. Року 2 — 50%; далі — 100%). Тобто повна річна вигода реально доступна лише з середини 2-го року.</w:t>
      </w:r>
    </w:p>
    <w:p/>
    <w:p>
      <w:r>
        <w:t>Вплив на payback (базовий сценарій, реалістична рамка):</w:t>
      </w:r>
    </w:p>
    <w:p/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  <w:sz w:val="20"/>
              </w:rPr>
              <w:t>Продукт</w:t>
            </w:r>
          </w:p>
        </w:tc>
        <w:tc>
          <w:tcPr>
            <w:tcW w:type="dxa" w:w="2880"/>
          </w:tcPr>
          <w:p>
            <w:r>
              <w:rPr>
                <w:b/>
                <w:sz w:val="20"/>
              </w:rPr>
              <w:t>«Чистий» payback (CAPEX, з Року 1)</w:t>
            </w:r>
          </w:p>
        </w:tc>
        <w:tc>
          <w:tcPr>
            <w:tcW w:type="dxa" w:w="2880"/>
          </w:tcPr>
          <w:p>
            <w:r>
              <w:rPr>
                <w:b/>
                <w:sz w:val="20"/>
              </w:rPr>
              <w:t>Реалістичний payback (CAPEX + OPEX 15% + ramp-up 18 міс.)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№1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~1.9 року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~3.0–3.3 року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№3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~2.0 року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~3.3–3.6 року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№2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~4.7 року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за межами 5-річного горизонту</w:t>
            </w:r>
          </w:p>
        </w:tc>
      </w:tr>
    </w:tbl>
    <w:p/>
    <w:p/>
    <w:p>
      <w:pPr>
        <w:ind w:left="454"/>
      </w:pPr>
      <w:r>
        <w:rPr>
          <w:i/>
        </w:rPr>
        <w:t>Ми показуємо обидві цифри навмисно: «чистий» payback зіставний з ринковими пітч-деками, реалістичний — те, що побачить НКРЕКП. Висновок не змінюється якісно: №1 і №3 окуповуються в горизонті, №2 — ні (і не має окупатися через ROI).</w:t>
      </w:r>
    </w:p>
    <w:p/>
    <w:p>
      <w:pPr>
        <w:pStyle w:val="Heading3"/>
      </w:pPr>
      <w:r>
        <w:t>8.2 Чутливість до ключових припущень</w:t>
      </w:r>
    </w:p>
    <w:p/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b/>
                <w:sz w:val="20"/>
              </w:rPr>
              <w:t>Продукт</w:t>
            </w:r>
          </w:p>
        </w:tc>
        <w:tc>
          <w:tcPr>
            <w:tcW w:type="dxa" w:w="2160"/>
          </w:tcPr>
          <w:p>
            <w:r>
              <w:rPr>
                <w:b/>
                <w:sz w:val="20"/>
              </w:rPr>
              <w:t>Ключове припущення</w:t>
            </w:r>
          </w:p>
        </w:tc>
        <w:tc>
          <w:tcPr>
            <w:tcW w:type="dxa" w:w="2160"/>
          </w:tcPr>
          <w:p>
            <w:r>
              <w:rPr>
                <w:b/>
                <w:sz w:val="20"/>
              </w:rPr>
              <w:t>Діапазон окупності (CAPEX, без ramp-up)</w:t>
            </w:r>
          </w:p>
        </w:tc>
        <w:tc>
          <w:tcPr>
            <w:tcW w:type="dxa" w:w="2160"/>
          </w:tcPr>
          <w:p>
            <w:r>
              <w:rPr>
                <w:b/>
                <w:sz w:val="20"/>
              </w:rPr>
              <w:t>Висновок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№1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частота×відведення: (0.5×7.5%) → (1×15%) → (2×30%)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7.5 → 1.9 → 0.5 року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Стійкість залежить від частоти ≥1 події/рік. За частоти &lt;1/рік ROI слабшає — це головна межа №1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№2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захист обороту 0.05%→0.1%→0.2%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9.5 → 4.7 → 2.4 року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Крихкий за ROI; рамка — комплаєнс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№3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зниження втрат 1%→2%→4%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4.0 → 2.0 → 1.0 року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Стійкий: окуповується навіть у песимістичному (4.0 &lt; 5)</w:t>
            </w:r>
          </w:p>
        </w:tc>
      </w:tr>
    </w:tbl>
    <w:p/>
    <w:p/>
    <w:p>
      <w:r>
        <w:t>Найбільш чутлива змінна по №1 — тепер не лише відведення, а добуток частоти на відведення. Це найважливіша зміна порівняно з попередньою редакцією: ми більше не маскуємо частотне припущення.</w:t>
      </w:r>
    </w:p>
    <w:p/>
    <w:p/>
    <w:p>
      <w:pPr>
        <w:pStyle w:val="Heading2"/>
      </w:pPr>
      <w:r>
        <w:t>9. Зведена таблиця ROI з NPV (базовий сценарій, повні версії)</w:t>
      </w:r>
    </w:p>
    <w:p/>
    <w:p>
      <w:r>
        <w:t>Недисконтований «чистий кумулятив» прибрано як вигляд результату (він суперечив декларації про чутливість до ставки). Замість нього — NPV при 12% / 18% / 24%, розраховане на 5-річному горизонті від річних вигод базового сценарію проти CAPEX у Рік 0 (без ramp-up і OPEX — щоб ізолювати ефект ставки; з ними картина гірша, див. 8.1).</w:t>
      </w:r>
    </w:p>
    <w:p/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1234"/>
        <w:gridCol w:w="1234"/>
        <w:gridCol w:w="1234"/>
        <w:gridCol w:w="1234"/>
        <w:gridCol w:w="1234"/>
        <w:gridCol w:w="1234"/>
        <w:gridCol w:w="1234"/>
      </w:tblGrid>
      <w:tr>
        <w:tc>
          <w:tcPr>
            <w:tcW w:type="dxa" w:w="1234"/>
          </w:tcPr>
          <w:p>
            <w:r>
              <w:rPr>
                <w:b/>
                <w:sz w:val="20"/>
              </w:rPr>
              <w:t>Продукт</w:t>
            </w:r>
          </w:p>
        </w:tc>
        <w:tc>
          <w:tcPr>
            <w:tcW w:type="dxa" w:w="1234"/>
          </w:tcPr>
          <w:p>
            <w:r>
              <w:rPr>
                <w:b/>
                <w:sz w:val="20"/>
              </w:rPr>
              <w:t>Ціна, млн грн</w:t>
            </w:r>
          </w:p>
        </w:tc>
        <w:tc>
          <w:tcPr>
            <w:tcW w:type="dxa" w:w="1234"/>
          </w:tcPr>
          <w:p>
            <w:r>
              <w:rPr>
                <w:b/>
                <w:sz w:val="20"/>
              </w:rPr>
              <w:t>Річна вигода (базовий)</w:t>
            </w:r>
          </w:p>
        </w:tc>
        <w:tc>
          <w:tcPr>
            <w:tcW w:type="dxa" w:w="1234"/>
          </w:tcPr>
          <w:p>
            <w:r>
              <w:rPr>
                <w:b/>
                <w:sz w:val="20"/>
              </w:rPr>
              <w:t>NPV @12%</w:t>
            </w:r>
          </w:p>
        </w:tc>
        <w:tc>
          <w:tcPr>
            <w:tcW w:type="dxa" w:w="1234"/>
          </w:tcPr>
          <w:p>
            <w:r>
              <w:rPr>
                <w:b/>
                <w:sz w:val="20"/>
              </w:rPr>
              <w:t>NPV @18%</w:t>
            </w:r>
          </w:p>
        </w:tc>
        <w:tc>
          <w:tcPr>
            <w:tcW w:type="dxa" w:w="1234"/>
          </w:tcPr>
          <w:p>
            <w:r>
              <w:rPr>
                <w:b/>
                <w:sz w:val="20"/>
              </w:rPr>
              <w:t>NPV @24%</w:t>
            </w:r>
          </w:p>
        </w:tc>
        <w:tc>
          <w:tcPr>
            <w:tcW w:type="dxa" w:w="1234"/>
          </w:tcPr>
          <w:p>
            <w:r>
              <w:rPr>
                <w:b/>
                <w:sz w:val="20"/>
              </w:rPr>
              <w:t>Рамка рішення</w:t>
            </w:r>
          </w:p>
        </w:tc>
      </w:tr>
      <w:tr>
        <w:tc>
          <w:tcPr>
            <w:tcW w:type="dxa" w:w="1234"/>
          </w:tcPr>
          <w:p>
            <w:r>
              <w:rPr>
                <w:sz w:val="20"/>
              </w:rPr>
              <w:t>№1</w:t>
            </w:r>
          </w:p>
        </w:tc>
        <w:tc>
          <w:tcPr>
            <w:tcW w:type="dxa" w:w="1234"/>
          </w:tcPr>
          <w:p>
            <w:r>
              <w:rPr>
                <w:sz w:val="20"/>
              </w:rPr>
              <w:t>1 130</w:t>
            </w:r>
          </w:p>
        </w:tc>
        <w:tc>
          <w:tcPr>
            <w:tcW w:type="dxa" w:w="1234"/>
          </w:tcPr>
          <w:p>
            <w:r>
              <w:rPr>
                <w:sz w:val="20"/>
              </w:rPr>
              <w:t>~600</w:t>
            </w:r>
          </w:p>
        </w:tc>
        <w:tc>
          <w:tcPr>
            <w:tcW w:type="dxa" w:w="1234"/>
          </w:tcPr>
          <w:p>
            <w:r>
              <w:rPr>
                <w:sz w:val="20"/>
              </w:rPr>
              <w:t>≈ +1 033</w:t>
            </w:r>
          </w:p>
        </w:tc>
        <w:tc>
          <w:tcPr>
            <w:tcW w:type="dxa" w:w="1234"/>
          </w:tcPr>
          <w:p>
            <w:r>
              <w:rPr>
                <w:sz w:val="20"/>
              </w:rPr>
              <w:t>≈ +747</w:t>
            </w:r>
          </w:p>
        </w:tc>
        <w:tc>
          <w:tcPr>
            <w:tcW w:type="dxa" w:w="1234"/>
          </w:tcPr>
          <w:p>
            <w:r>
              <w:rPr>
                <w:sz w:val="20"/>
              </w:rPr>
              <w:t>≈ +517</w:t>
            </w:r>
          </w:p>
        </w:tc>
        <w:tc>
          <w:tcPr>
            <w:tcW w:type="dxa" w:w="1234"/>
          </w:tcPr>
          <w:p>
            <w:r>
              <w:rPr>
                <w:sz w:val="20"/>
              </w:rPr>
              <w:t>Прямий ROI (за частоти ≥1/рік)</w:t>
            </w:r>
          </w:p>
        </w:tc>
      </w:tr>
      <w:tr>
        <w:tc>
          <w:tcPr>
            <w:tcW w:type="dxa" w:w="1234"/>
          </w:tcPr>
          <w:p>
            <w:r>
              <w:rPr>
                <w:sz w:val="20"/>
              </w:rPr>
              <w:t>№2</w:t>
            </w:r>
          </w:p>
        </w:tc>
        <w:tc>
          <w:tcPr>
            <w:tcW w:type="dxa" w:w="1234"/>
          </w:tcPr>
          <w:p>
            <w:r>
              <w:rPr>
                <w:sz w:val="20"/>
              </w:rPr>
              <w:t>634</w:t>
            </w:r>
          </w:p>
        </w:tc>
        <w:tc>
          <w:tcPr>
            <w:tcW w:type="dxa" w:w="1234"/>
          </w:tcPr>
          <w:p>
            <w:r>
              <w:rPr>
                <w:sz w:val="20"/>
              </w:rPr>
              <w:t>~134</w:t>
            </w:r>
          </w:p>
        </w:tc>
        <w:tc>
          <w:tcPr>
            <w:tcW w:type="dxa" w:w="1234"/>
          </w:tcPr>
          <w:p>
            <w:r>
              <w:rPr>
                <w:sz w:val="20"/>
              </w:rPr>
              <w:t>≈ −151</w:t>
            </w:r>
          </w:p>
        </w:tc>
        <w:tc>
          <w:tcPr>
            <w:tcW w:type="dxa" w:w="1234"/>
          </w:tcPr>
          <w:p>
            <w:r>
              <w:rPr>
                <w:sz w:val="20"/>
              </w:rPr>
              <w:t>≈ −215</w:t>
            </w:r>
          </w:p>
        </w:tc>
        <w:tc>
          <w:tcPr>
            <w:tcW w:type="dxa" w:w="1234"/>
          </w:tcPr>
          <w:p>
            <w:r>
              <w:rPr>
                <w:sz w:val="20"/>
              </w:rPr>
              <w:t>≈ −267</w:t>
            </w:r>
          </w:p>
        </w:tc>
        <w:tc>
          <w:tcPr>
            <w:tcW w:type="dxa" w:w="1234"/>
          </w:tcPr>
          <w:p>
            <w:r>
              <w:rPr>
                <w:sz w:val="20"/>
              </w:rPr>
              <w:t>Комплаєнс (NPV&lt;0 за всіх показових ставок)</w:t>
            </w:r>
          </w:p>
        </w:tc>
      </w:tr>
      <w:tr>
        <w:tc>
          <w:tcPr>
            <w:tcW w:type="dxa" w:w="1234"/>
          </w:tcPr>
          <w:p>
            <w:r>
              <w:rPr>
                <w:sz w:val="20"/>
              </w:rPr>
              <w:t>№3</w:t>
            </w:r>
          </w:p>
        </w:tc>
        <w:tc>
          <w:tcPr>
            <w:tcW w:type="dxa" w:w="1234"/>
          </w:tcPr>
          <w:p>
            <w:r>
              <w:rPr>
                <w:sz w:val="20"/>
              </w:rPr>
              <w:t>382</w:t>
            </w:r>
          </w:p>
        </w:tc>
        <w:tc>
          <w:tcPr>
            <w:tcW w:type="dxa" w:w="1234"/>
          </w:tcPr>
          <w:p>
            <w:r>
              <w:rPr>
                <w:sz w:val="20"/>
              </w:rPr>
              <w:t>~190</w:t>
            </w:r>
          </w:p>
        </w:tc>
        <w:tc>
          <w:tcPr>
            <w:tcW w:type="dxa" w:w="1234"/>
          </w:tcPr>
          <w:p>
            <w:r>
              <w:rPr>
                <w:sz w:val="20"/>
              </w:rPr>
              <w:t>≈ +303</w:t>
            </w:r>
          </w:p>
        </w:tc>
        <w:tc>
          <w:tcPr>
            <w:tcW w:type="dxa" w:w="1234"/>
          </w:tcPr>
          <w:p>
            <w:r>
              <w:rPr>
                <w:sz w:val="20"/>
              </w:rPr>
              <w:t>≈ +212</w:t>
            </w:r>
          </w:p>
        </w:tc>
        <w:tc>
          <w:tcPr>
            <w:tcW w:type="dxa" w:w="1234"/>
          </w:tcPr>
          <w:p>
            <w:r>
              <w:rPr>
                <w:sz w:val="20"/>
              </w:rPr>
              <w:t>≈ +138</w:t>
            </w:r>
          </w:p>
        </w:tc>
        <w:tc>
          <w:tcPr>
            <w:tcW w:type="dxa" w:w="1234"/>
          </w:tcPr>
          <w:p>
            <w:r>
              <w:rPr>
                <w:sz w:val="20"/>
              </w:rPr>
              <w:t>Прямий ROI</w:t>
            </w:r>
          </w:p>
        </w:tc>
      </w:tr>
    </w:tbl>
    <w:p/>
    <w:p/>
    <w:p>
      <w:pPr>
        <w:ind w:left="454"/>
      </w:pPr>
      <w:r>
        <w:rPr>
          <w:i/>
        </w:rPr>
        <w:t>Розрахунок NPV: сума дисконтованих річних вигод за 5 років мінус CAPEX. Напр. №1 @18%: 600 × [анюїтет-фактор 5 р., 18% ≈ 3.127] − 1 130 ≈ 1 876 − 1 130 ≈ +747. Ключовий висновок чесності: №2 має від'ємний NPV вже при 12% — тобто навіть недисконтований «плюс +36 млн», показаний у попередній редакції, при будь-якій реальній українській ставці стає мінусом. Саме тому №2 не можна подавати як ROI-позитивний.</w:t>
      </w:r>
    </w:p>
    <w:p/>
    <w:p>
      <w:pPr>
        <w:pStyle w:val="Heading3"/>
      </w:pPr>
      <w:r>
        <w:t>9.1 Опція на майбутнє: єдина платформа (Модель B) — НЕ обовʼязкова, НЕ зараз</w:t>
      </w:r>
    </w:p>
    <w:p/>
    <w:p>
      <w:pPr>
        <w:ind w:left="454"/>
      </w:pPr>
      <w:r>
        <w:rPr>
          <w:i/>
        </w:rPr>
        <w:t>Це опція, а не рекомендація. Базою пропозиції є три окремі повноцінні продукти (Модель A, $51.1М). Кожен продукт самодостатній і працює окремо. Викладене нижче — можливість на майбутнє, якою Замовник може скористатися за бажанням і в будь-який момент після придбання продуктів. Рішення щодо платформи ухвалювати зараз не потрібно і воно жодним чином не є умовою для Продукту №1.</w:t>
      </w:r>
    </w:p>
    <w:p/>
    <w:p>
      <w:r>
        <w:t>За бажанням три продукти можна згодом звʼязати спільною інтеграційною шиною даних у єдину платформу (Модель B). У такому разі сукупна ціна знижується приблизно на −25% до $38.4М (економія ≈ $12.7М) за рахунок усунення дублювання інтеграцій, сховища та інфраструктури. Декомпозиція економії — нижче; вона подається як різниця двох окремих кошторисів (Annex B), а не як апріорний відсоток.</w:t>
      </w:r>
    </w:p>
    <w:p/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  <w:sz w:val="20"/>
              </w:rPr>
              <w:t>Компонент, що перестає дублюватися між продуктами</w:t>
            </w:r>
          </w:p>
        </w:tc>
        <w:tc>
          <w:tcPr>
            <w:tcW w:type="dxa" w:w="2880"/>
          </w:tcPr>
          <w:p>
            <w:r>
              <w:rPr>
                <w:b/>
                <w:sz w:val="20"/>
              </w:rPr>
              <w:t>Механізм економії</w:t>
            </w:r>
          </w:p>
        </w:tc>
        <w:tc>
          <w:tcPr>
            <w:tcW w:type="dxa" w:w="2880"/>
          </w:tcPr>
          <w:p>
            <w:r>
              <w:rPr>
                <w:b/>
                <w:sz w:val="20"/>
              </w:rPr>
              <w:t>Оцінка частки економії портфеля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Інтеграційна шина даних (єдина замість трьох)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один конектор-шар до SCADA/ринкових даних замість 3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~ третина економії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Сховище та модель даних (єдина онтологія мережі/ринку)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спільні довідники, єдина історія, без 3× реплікації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~ третина економії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Інфраструктура, експлуатація, безпека, єдиний вхід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один контур експлуатації замість трьох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~ решта економії</w:t>
            </w:r>
          </w:p>
        </w:tc>
      </w:tr>
    </w:tbl>
    <w:p/>
    <w:p/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b/>
                <w:sz w:val="20"/>
              </w:rPr>
              <w:t>Модель</w:t>
            </w:r>
          </w:p>
        </w:tc>
        <w:tc>
          <w:tcPr>
            <w:tcW w:type="dxa" w:w="2160"/>
          </w:tcPr>
          <w:p>
            <w:r>
              <w:rPr>
                <w:b/>
                <w:sz w:val="20"/>
              </w:rPr>
              <w:t>Ціна</w:t>
            </w:r>
          </w:p>
        </w:tc>
        <w:tc>
          <w:tcPr>
            <w:tcW w:type="dxa" w:w="2160"/>
          </w:tcPr>
          <w:p>
            <w:r>
              <w:rPr>
                <w:b/>
                <w:sz w:val="20"/>
              </w:rPr>
              <w:t>Річна вигода (№1+№2+№3, базовий)</w:t>
            </w:r>
          </w:p>
        </w:tc>
        <w:tc>
          <w:tcPr>
            <w:tcW w:type="dxa" w:w="2160"/>
          </w:tcPr>
          <w:p>
            <w:r>
              <w:rPr>
                <w:b/>
                <w:sz w:val="20"/>
              </w:rPr>
              <w:t>Коментар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Модель A (три окремі продукти) — база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$51.1М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~924 млн грн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Кожен продукт окремо; повна свобода замовляти лише потрібні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Модель B (платформа) — опція на майбутнє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$38.4М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~924 млн грн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Нижчий CAPEX і єдиний OPEX-контур; обирати лише за бажанням, не зараз</w:t>
            </w:r>
          </w:p>
        </w:tc>
      </w:tr>
    </w:tbl>
    <w:p/>
    <w:p/>
    <w:p/>
    <w:p>
      <w:pPr>
        <w:pStyle w:val="Heading2"/>
      </w:pPr>
      <w:r>
        <w:t>10. Ринкові якорі ціни (для фінконтролера)</w:t>
      </w:r>
    </w:p>
    <w:p/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  <w:sz w:val="20"/>
              </w:rPr>
              <w:t>Аналог</w:t>
            </w:r>
          </w:p>
        </w:tc>
        <w:tc>
          <w:tcPr>
            <w:tcW w:type="dxa" w:w="2880"/>
          </w:tcPr>
          <w:p>
            <w:r>
              <w:rPr>
                <w:b/>
                <w:sz w:val="20"/>
              </w:rPr>
              <w:t>Ціна</w:t>
            </w:r>
          </w:p>
        </w:tc>
        <w:tc>
          <w:tcPr>
            <w:tcW w:type="dxa" w:w="2880"/>
          </w:tcPr>
          <w:p>
            <w:r>
              <w:rPr>
                <w:b/>
                <w:sz w:val="20"/>
              </w:rPr>
              <w:t>Зіставлення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Промислова система диспетчерського керування для оператора передачі (Польща)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$20М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Зіставно з №1 MVP–повна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Провідна світова система ринкового нагляду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$77М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№2 — $15.1М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Система керування енергією + диспетчерського контролю (Боснія)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EUR 8.5М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Менший масштаб мережі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Велика урядова аналітична платформа (агросектор США)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$300М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Платформений клас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Велика урядова аналітична платформа (охорона здоровʼя США)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$443М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Платформений клас</w:t>
            </w:r>
          </w:p>
        </w:tc>
      </w:tr>
    </w:tbl>
    <w:p/>
    <w:p/>
    <w:p>
      <w:r>
        <w:t>Структура множника ціни. Ціна = собівартість × 3.732, де 3.732 = 2.75 (накладні витрати) × 1.18 (юридичне/договірне оформлення) × 1.15 (воєнний коефіцієнт).</w:t>
      </w:r>
    </w:p>
    <w:p/>
    <w:p>
      <w:pPr>
        <w:ind w:left="454"/>
      </w:pPr>
      <w:r>
        <w:rPr>
          <w:i/>
        </w:rPr>
        <w:t>Щоб множник можна було перевірити, наведено базу. Для Продукту №1 ($26.9М) множник 3.732 означає базову собівартість ≈ $7.2М ($26.9М ÷ 3.732); №2 ($15.1М) — ≈ $4.05М; №3 ($9.1М) — ≈ $2.44М; для опційної платформи (Модель B, $38.4М) — ≈ $10.3М. Детальна постатейна собівартість (людино-місяці × ставки, ліцензії, інфраструктура) — в Annex B/C; без неї перевірка множника неповна, і ми це визнаємо. Воєнний коефіцієнт +15% — нижчий за офіційні 35% надбавки за роботу в зоні підвищеної небезпеки (danger pay Держдепу США для Києва); це порівняння лишаємо лише в контексті воєнної надбавки до ціни праці (де воно релевантне), і не використовуємо як обґрунтування технічних % ефективності продуктів.</w:t>
      </w:r>
    </w:p>
    <w:p/>
    <w:p/>
    <w:p>
      <w:pPr>
        <w:pStyle w:val="Heading2"/>
      </w:pPr>
      <w:r>
        <w:t>11. Підтвердження виконуваності (Proof) та Annexes</w:t>
      </w:r>
    </w:p>
    <w:p/>
    <w:p>
      <w:pPr>
        <w:pStyle w:val="ListBullet"/>
      </w:pPr>
      <w:r>
        <w:t>Демо-портал: https://ukrenergo.radai-1984.dev — Продукт №1 уже працює як робоче демо (головний акцент). Поряд показано продукти №2 і №3 та, як опцію, наскрізний сценарій №1→спільна шина даних→№2→№3 і контур моніторингу 24/7.</w:t>
      </w:r>
    </w:p>
    <w:p>
      <w:pPr>
        <w:pStyle w:val="ListBullet"/>
      </w:pPr>
      <w:r>
        <w:t>Annex A. Технічні завдання за ГОСТ 34.602 (окреме ТЗ на кожен продукт).</w:t>
      </w:r>
    </w:p>
    <w:p>
      <w:pPr>
        <w:pStyle w:val="ListBullet"/>
      </w:pPr>
      <w:r>
        <w:t>Annex B. Кошторис (Модель A — три окремі продукти; Модель B — опційна платформа, для перевірки економії та множника).</w:t>
      </w:r>
    </w:p>
    <w:p>
      <w:pPr>
        <w:pStyle w:val="ListBullet"/>
      </w:pPr>
      <w:r>
        <w:t>Annex C. Обґрунтування вартості.</w:t>
      </w:r>
    </w:p>
    <w:p/>
    <w:p/>
    <w:p>
      <w:pPr>
        <w:pStyle w:val="Heading2"/>
      </w:pPr>
      <w:r>
        <w:t>12. Висновки та рекомендація</w:t>
      </w:r>
    </w:p>
    <w:p/>
    <w:p>
      <w:pPr>
        <w:pStyle w:val="ListNumber"/>
      </w:pPr>
      <w:r>
        <w:t>Продукт №1 (ГЕРОЙ). Це продукт, який Замовник визначив пріоритетним, і він уже готовий — є робоче демо. За базовим (ймовірнісним) припущенням — частота ≥1 події/рік × тяжкість 4 000 млн грн × відведення 15% — окуповується за ~1.9 року (CAPEX) / ~3.0–3.3 року (з OPEX і ramp-up), NPV додатний за ставок 12–24%. Межа: стійкість залежить від припущення про частоту ≥1 події/рік; за нижчої частоти ROI слабшає. Це найважливіше припущення, і воно тепер явне. Рекомендація: придбати Продукт №1 окремим проектом із повною передачею у власність (розд. 1.1).</w:t>
      </w:r>
    </w:p>
    <w:p>
      <w:pPr>
        <w:pStyle w:val="ListNumber"/>
      </w:pPr>
      <w:r>
        <w:t>Продукт №3. За окремим запитом. Окуповується за ~2.0 року (CAPEX) / ~3.3–3.6 року (реалістично), NPV додатний за всіх показових ставок. Найбільш готовий (база обленерго). База — сума компенсації втрат 11 млрд грн; % втрат бажано замінити нормативом Укренерго з тарифного рішення.</w:t>
      </w:r>
    </w:p>
    <w:p>
      <w:pPr>
        <w:pStyle w:val="ListNumber"/>
      </w:pPr>
      <w:r>
        <w:t>Продукт №2. За окремим запитом; дешевший за №1. NPV від'ємний за всіх реалістичних ставок (12–24%). Ухвалюється за критерієм обов'язковості (REMIT, інтеграційні вимоги), а не за окупністю.</w:t>
      </w:r>
    </w:p>
    <w:p>
      <w:pPr>
        <w:pStyle w:val="ListNumber"/>
      </w:pPr>
      <w:r>
        <w:t>Контекст інтеграції (+500 МВт) — ілюстрація напрямку, не приписана цим продуктам і не монетизована.</w:t>
      </w:r>
    </w:p>
    <w:p>
      <w:pPr>
        <w:pStyle w:val="ListNumber"/>
      </w:pPr>
      <w:r>
        <w:t>Єдина платформа (Модель B) — опція на майбутнє, не обовʼязкова і не зараз. Кожен продукт повноцінний сам по собі; за бажанням Замовник може згодом звʼязати три продукти спільною шиною (економія −25%, $38.4М). Це рішення можна відкласти і ухвалити будь-коли після придбання продуктів — воно не є умовою для №1.</w:t>
      </w:r>
    </w:p>
    <w:p/>
    <w:p>
      <w:r>
        <w:t>Дані, які Замовник підставляє перед поданням до НКРЕКП: (1) номер постанови НКРЕКП і рядок компенсації техн. втрат у тарифі; (2) фактичний % технологічних втрат мережі; (3) реквізити REMIT-справи/рішення (поки — відкрите розслідування, не фінальний штраф); (4) підтверджені величини OPEX за моделлю володіння.</w:t>
      </w:r>
    </w:p>
    <w:p/>
    <w:p/>
    <w:p>
      <w:r>
        <w:t>*Вигоди наведено за нижньою планкою та консервативними припущеннями; кожне ключове припущення позначено [ПРИПУЩЕННЯ]. Продукт №1 рахується ймовірнісно (частота × тяжкість × відведення). NPV наведено при 12/18/24%. OPEX і 18-міс. ramp-up включено в реалістичний payback (розд. 8.1). VoLL/ENS-upside №1 та монетизація +500 МВт виключені з рахунку. Кожен продукт — окремий проект із повною передачею у власність (розд. 1.1). Єдина платформа — опція на майбутнє, не обовʼязкова. Показники, що спираються на зовнішні проксі, позначені як такі, що потребують заміни даними Замовника.*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40"/>
      <w:ind w:firstLine="709"/>
      <w:jc w:val="both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ind w:firstLine="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00000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ind w:firstLine="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ind w:firstLine="0"/>
      <w:outlineLvl w:val="2"/>
    </w:pPr>
    <w:rPr>
      <w:rFonts w:asciiTheme="majorHAnsi" w:eastAsiaTheme="majorEastAsia" w:hAnsiTheme="majorHAnsi" w:cstheme="majorBidi" w:ascii="Times New Roman" w:hAnsi="Times New Roman"/>
      <w:b/>
      <w:bCs/>
      <w:color w:val="00000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