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rPr>
          <w:b/>
          <w:sz w:val="22"/>
        </w:rPr>
        <w:t>Гриф обмеження доступу: «ЦІЛКОМ ТАЄМНО»</w:t>
        <w:br/>
        <w:t>Прим. № ____   (проєкт — до затвердження КСЗІ)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sz w:val="22"/>
              </w:rPr>
              <w:t>ПОГОДЖЕНО</w:t>
              <w:br/>
              <w:t>Генеральний директор ВИКОНАВЦЯ</w:t>
              <w:br/>
              <w:t>____________ ______________</w:t>
              <w:br/>
              <w:t>«___» __________ 20__ р.</w:t>
              <w:br/>
              <w:t xml:space="preserve">        М.П.</w:t>
            </w:r>
          </w:p>
        </w:tc>
        <w:tc>
          <w:tcPr>
            <w:tcW w:type="dxa" w:w="4320"/>
          </w:tcPr>
          <w:p>
            <w:r>
              <w:rPr>
                <w:sz w:val="22"/>
              </w:rPr>
              <w:t>ЗАТВЕРДЖУЮ</w:t>
              <w:br/>
              <w:t>Генеральний директор</w:t>
              <w:br/>
              <w:t>НЕК «УКРЕНЕРГО»</w:t>
              <w:br/>
              <w:t>____________ ______________</w:t>
              <w:br/>
              <w:t>«___» __________ 20__ р.</w:t>
              <w:br/>
              <w:t xml:space="preserve">        М.П.</w:t>
            </w:r>
          </w:p>
        </w:tc>
      </w:tr>
    </w:tbl>
    <w:p/>
    <w:p/>
    <w:p/>
    <w:p>
      <w:pPr>
        <w:jc w:val="center"/>
      </w:pPr>
      <w:r>
        <w:rPr>
          <w:b/>
          <w:sz w:val="28"/>
        </w:rPr>
        <w:t>АВТОМАТИЗОВАНА СИСТЕМА</w:t>
      </w:r>
    </w:p>
    <w:p>
      <w:pPr>
        <w:jc w:val="center"/>
      </w:pPr>
      <w:r>
        <w:rPr>
          <w:b/>
          <w:sz w:val="32"/>
        </w:rPr>
        <w:t>«Комплект із трьох самостійних продуктів для ОЕС України»</w:t>
      </w:r>
    </w:p>
    <w:p>
      <w:pPr>
        <w:jc w:val="center"/>
      </w:pPr>
      <w:r>
        <w:rPr>
          <w:b w:val="0"/>
          <w:sz w:val="24"/>
        </w:rPr>
        <w:t>(3П ОЕС)</w:t>
      </w:r>
    </w:p>
    <w:p>
      <w:pPr>
        <w:jc w:val="center"/>
      </w:pPr>
      <w:r>
        <w:rPr>
          <w:b w:val="0"/>
          <w:sz w:val="24"/>
        </w:rPr>
      </w:r>
    </w:p>
    <w:p>
      <w:pPr>
        <w:jc w:val="center"/>
      </w:pPr>
      <w:r>
        <w:rPr>
          <w:b/>
          <w:sz w:val="30"/>
        </w:rPr>
        <w:t>ЗВЕДЕНА ПРОПОЗИЦІЯ</w:t>
        <w:br/>
        <w:t>(Master Proposal)</w:t>
      </w:r>
    </w:p>
    <w:p/>
    <w:p/>
    <w:p>
      <w:pPr>
        <w:jc w:val="center"/>
      </w:pPr>
      <w:r>
        <w:rPr>
          <w:sz w:val="22"/>
        </w:rPr>
        <w:t>Позначення документа: UE-3PROD.MP</w:t>
      </w:r>
    </w:p>
    <w:p>
      <w:pPr>
        <w:jc w:val="center"/>
      </w:pPr>
      <w:r>
        <w:rPr>
          <w:sz w:val="22"/>
        </w:rPr>
        <w:t>Кількість аркушів: ____</w:t>
      </w:r>
    </w:p>
    <w:p>
      <w:pPr>
        <w:jc w:val="center"/>
      </w:pPr>
      <w:r>
        <w:rPr>
          <w:sz w:val="22"/>
        </w:rPr>
        <w:t>Редакція: 1.0</w:t>
      </w:r>
    </w:p>
    <w:p/>
    <w:p/>
    <w:p>
      <w:pPr>
        <w:ind w:firstLine="0"/>
        <w:jc w:val="center"/>
      </w:pPr>
      <w:r>
        <w:rPr>
          <w:b/>
          <w:sz w:val="22"/>
        </w:rPr>
        <w:t>ПРИВАТНЕ АКЦІОНЕРНЕ ТОВАРИСТВО «НАЦІОНАЛЬНА ЕНЕРГЕТИЧНА КОМПАНІЯ «УКРЕНЕРГО»</w:t>
      </w:r>
    </w:p>
    <w:p>
      <w:pPr>
        <w:ind w:firstLine="0"/>
        <w:jc w:val="center"/>
      </w:pPr>
      <w:r>
        <w:rPr>
          <w:i/>
          <w:sz w:val="20"/>
        </w:rPr>
        <w:t>Замовник: ПрАТ «НЕК «УКРЕНЕРГО» · код ЄДРПОУ 00100227 · 01032, м. Київ, вул. Симона Петлюри, 25</w:t>
      </w:r>
    </w:p>
    <w:p/>
    <w:p/>
    <w:p>
      <w:pPr>
        <w:ind w:firstLine="0"/>
        <w:jc w:val="center"/>
      </w:pPr>
      <w:r>
        <w:rPr>
          <w:sz w:val="24"/>
        </w:rPr>
        <w:t>Київ</w:t>
      </w:r>
    </w:p>
    <w:p>
      <w:pPr>
        <w:ind w:firstLine="0"/>
        <w:jc w:val="center"/>
      </w:pPr>
      <w:r>
        <w:rPr>
          <w:sz w:val="24"/>
        </w:rPr>
        <w:t>2026</w:t>
      </w:r>
    </w:p>
    <w:p>
      <w:r>
        <w:br w:type="page"/>
      </w:r>
    </w:p>
    <w:p>
      <w:pPr>
        <w:pStyle w:val="Heading1"/>
      </w:pPr>
      <w:r>
        <w:t>ЗВЕДЕНА ПРОПОЗИЦІЯ (MASTER PROPOSAL)</w:t>
      </w:r>
    </w:p>
    <w:p/>
    <w:p>
      <w:r>
        <w:t>Система управління ризиками безпеки та прогнозування загроз для оператора системи передачі — з можливістю розширення на аналіз зловживань на енергоринку та прогноз технологічних втрат</w:t>
      </w:r>
    </w:p>
    <w:p/>
    <w:p/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b/>
                <w:sz w:val="20"/>
              </w:rPr>
            </w:r>
          </w:p>
        </w:tc>
        <w:tc>
          <w:tcPr>
            <w:tcW w:type="dxa" w:w="4320"/>
          </w:tcPr>
          <w:p>
            <w:r>
              <w:rPr>
                <w:b/>
                <w:sz w:val="20"/>
              </w:rPr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Замовник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ПрАТ «НЕК «УКРЕНЕРГО»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ЄДРПОУ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00100227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Адреса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01032, м. Київ, вул. Симона Петлюри, 25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Тип документа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Зведена пропозиція — титульний документ пакету (Master Proposal)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Адресат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Правління ПрАТ «НЕК «УКРЕНЕРГО»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Демонстрація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https://ukrenergo.radai-1984.dev (робоче демо Продукту №1 + демонстратори концепції Продуктів №2 і №3 на синтетичних даних)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Валютний курс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42 грн/$ (для перерахунків у цьому пакеті)</w:t>
            </w:r>
          </w:p>
        </w:tc>
      </w:tr>
    </w:tbl>
    <w:p/>
    <w:p/>
    <w:p/>
    <w:p>
      <w:pPr>
        <w:pStyle w:val="Heading2"/>
      </w:pPr>
      <w:r>
        <w:t>Анотація</w:t>
      </w:r>
    </w:p>
    <w:p/>
    <w:p>
      <w:r>
        <w:t>Замовник сформулював потребу в системі управління ризиками безпеки та прогнозування загроз для операційного контуру оператора системи передачі. Ми побудували саме цей продукт — він уже готовий і доступний як робоче демо за посиланням вище. Це Продукт №1 і головний предмет цієї пропозиції.</w:t>
      </w:r>
    </w:p>
    <w:p/>
    <w:p>
      <w:r>
        <w:t>Продукт №1 — самостійне, повноцінне рішення. Він не потребує жодного іншого продукту з цього пакету, постачається як завершена система, передається у власність Замовника разовим продажем без технологічної залежності від розробника. Ціна повної версії — $26,9 М, мінімально-достатня версія (MVP) — $10,8 М.</w:t>
      </w:r>
    </w:p>
    <w:p/>
    <w:p>
      <w:r>
        <w:t>Крім Продукту №1, ми готові реалізувати точно так само, окремими проектами за запитом, ще два самостійні продукти:</w:t>
      </w:r>
    </w:p>
    <w:p/>
    <w:p>
      <w:pPr>
        <w:pStyle w:val="ListBullet"/>
      </w:pPr>
      <w:r>
        <w:t>Продукт №2 — «Система виявлення зловживань на енергоринку» (аналіз маніпуляцій на ринку «на добу наперед» / «внутрішньодобовому ринку»): окремий продукт, дешевший за Продукт №1 — $15,1 М (MVP $6,0 М).</w:t>
      </w:r>
    </w:p>
    <w:p>
      <w:pPr>
        <w:pStyle w:val="ListBullet"/>
      </w:pPr>
      <w:r>
        <w:t>Продукт №3 — «Прогноз технологічних втрат передачі»: найбільш готовий за наявною базою обленерго, $9,1 М (MVP $3,7 М).</w:t>
      </w:r>
    </w:p>
    <w:p/>
    <w:p>
      <w:r>
        <w:t>Кожен із трьох продуктів — окремий проект із власним технічним завданням, окремим бюджетом і окремим додатковим узгодженням. Це базовий формат співпраці (далі — Модель A).</w:t>
      </w:r>
    </w:p>
    <w:p/>
    <w:p>
      <w:r>
        <w:t>Горизонт розвитку (після Продукту №1). Замовник звернувся за Продуктом №1 — і саме його ми робимо повноцінно та у власність. Але ми бачимо ширше: коли Продукт №1 запрацює у вас, відкривається наступний крок росту — згодом зв'язати його з Продуктами №2 і №3 спільною інтеграційною шиною даних. Тоді кожен продукт розкривається ширше: сигнал ризику з Продукту №1 стає контекстом для ринкового нагляду Продукту №2 і для перерахунку втрат Продукту №3 — три двійники працюють як один контур, де 1+1+1 дає більше за 3. Це перспектива, а не зобов'язання сьогодні: кожен продукт повноцінний сам по собі й не потребує платформи. Економія приблизно −25 % від суми трьох продуктів ($38,4 М, Модель B) — це винагорода за консолідацію, коли і якщо Замовник вирішить її будувати.</w:t>
      </w:r>
    </w:p>
    <w:p/>
    <w:p>
      <w:r>
        <w:t>Робоче демо Продукту №1 та демонстратори концепції Продуктів №2 і №3 — на синтетичних даних, не пілот на реальних даних Укренерго — доступні за посиланням вище.</w:t>
      </w:r>
    </w:p>
    <w:p/>
    <w:p>
      <w:pPr>
        <w:ind w:left="454"/>
      </w:pPr>
      <w:r>
        <w:rPr>
          <w:i/>
        </w:rPr>
        <w:t>Перспектива розвитку. Сценарій із наскрізним зв'язком трьох двійників уже показано в демо — щоб було видно глибину бачення, а не лише сьогоднішній обсяг. Це не тиск і не умова: візьмете Продукт №1 — самі побачите, наскільки далі це можна розвинути.</w:t>
      </w:r>
    </w:p>
    <w:p/>
    <w:p/>
    <w:p>
      <w:pPr>
        <w:pStyle w:val="Heading2"/>
      </w:pPr>
      <w:r>
        <w:t>Головне рішення: Продукт №1 — Система управління ризиками безпеки та прогнозування загроз</w:t>
      </w:r>
    </w:p>
    <w:p/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b/>
                <w:sz w:val="20"/>
              </w:rPr>
              <w:t>Параметр</w:t>
            </w:r>
          </w:p>
        </w:tc>
        <w:tc>
          <w:tcPr>
            <w:tcW w:type="dxa" w:w="4320"/>
          </w:tcPr>
          <w:p>
            <w:r>
              <w:rPr>
                <w:b/>
                <w:sz w:val="20"/>
              </w:rPr>
              <w:t>Значення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Статус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Готовий — робоче демо доступне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Призначення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Управління ризиками безпеки операційного контуру ОСП та прогнозування загроз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Повна версія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$26,9 М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MVP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$10,8 М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Строки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MVP — 6 міс, повна версія — 14 міс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Окупність (базовий ROI)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~1,9 року (ефект ~600 млн грн/рік)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Модель постачання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Разовий продаж, повна передача у власність, без залежності від розробника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Самодостатність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Повноцінний продукт; не потребує Продуктів №2/№3 чи платформи</w:t>
            </w:r>
          </w:p>
        </w:tc>
      </w:tr>
    </w:tbl>
    <w:p/>
    <w:p/>
    <w:p>
      <w:r>
        <w:t>Це той продукт, який Замовник хотів від початку, і який ми вже реалізували. Решта пакету — це підтвердження, що ми можемо так само закрити суміжні задачі, якщо і коли вони стануть пріоритетними.</w:t>
      </w:r>
    </w:p>
    <w:p/>
    <w:p/>
    <w:p>
      <w:pPr>
        <w:pStyle w:val="Heading2"/>
      </w:pPr>
      <w:r>
        <w:t>Поряд: ще два продукти, які ми можемо реалізувати так само (за запитом)</w:t>
      </w:r>
    </w:p>
    <w:p/>
    <w:p>
      <w:r>
        <w:t>Подаються як окремі проекти, кожен — зі своїм ТЗ, бюджетом і узгодженням. Жоден із них не є умовою для Продукту №1.</w:t>
      </w:r>
    </w:p>
    <w:p/>
    <w:p>
      <w:pPr>
        <w:pStyle w:val="Heading3"/>
      </w:pPr>
      <w:r>
        <w:t>Продукт №2 — Система виявлення зловживань на енергоринку</w:t>
      </w:r>
    </w:p>
    <w:p/>
    <w:p>
      <w:r>
        <w:t>Аналіз маніпуляцій на ринку «на добу наперед» та «внутрішньодобовому ринку»: моніторинг угод, виявлення зловживань, звітність регулятору відповідно до вимог нагляду за оптовим ринком електроенергії (REMIT — Регламент ЄС про цілісність і прозорість оптового енергоринку).</w:t>
      </w:r>
    </w:p>
    <w:p/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b/>
                <w:sz w:val="20"/>
              </w:rPr>
              <w:t>Параметр</w:t>
            </w:r>
          </w:p>
        </w:tc>
        <w:tc>
          <w:tcPr>
            <w:tcW w:type="dxa" w:w="4320"/>
          </w:tcPr>
          <w:p>
            <w:r>
              <w:rPr>
                <w:b/>
                <w:sz w:val="20"/>
              </w:rPr>
              <w:t>Значення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Повна версія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$15,1 М (явно дешевше за Продукт №1)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MVP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$6,0 М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Строки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MVP — 4 міс, повна версія — 10 міс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ROI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~4,7 року (ефект ~134 млн грн/рік); прямий грошовий ROI слабкий — головний драйвер є обов'язковий комплаєнс REMIT</w:t>
            </w:r>
          </w:p>
        </w:tc>
      </w:tr>
    </w:tbl>
    <w:p/>
    <w:p/>
    <w:p>
      <w:pPr>
        <w:ind w:left="454"/>
      </w:pPr>
      <w:r>
        <w:rPr>
          <w:i/>
        </w:rPr>
        <w:t>Продукт №2 коштує менше за Продукт №1. Для нього доцільно розглянути старт із MVP ($6,0 М) як мінімально-достатнього обсягу під вимогу нагляду, з подальшим розширенням за фактичною потребою.</w:t>
      </w:r>
    </w:p>
    <w:p/>
    <w:p>
      <w:pPr>
        <w:pStyle w:val="Heading3"/>
      </w:pPr>
      <w:r>
        <w:t>Продукт №3 — Прогноз технологічних втрат передачі</w:t>
      </w:r>
    </w:p>
    <w:p/>
    <w:p>
      <w:r>
        <w:t>Контроль і прогнозування технологічних втрат у мережі передачі. Найбільш готовий із трьох за рахунок наявної бази даних обленерго.</w:t>
      </w:r>
    </w:p>
    <w:p/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b/>
                <w:sz w:val="20"/>
              </w:rPr>
              <w:t>Параметр</w:t>
            </w:r>
          </w:p>
        </w:tc>
        <w:tc>
          <w:tcPr>
            <w:tcW w:type="dxa" w:w="4320"/>
          </w:tcPr>
          <w:p>
            <w:r>
              <w:rPr>
                <w:b/>
                <w:sz w:val="20"/>
              </w:rPr>
              <w:t>Значення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Повна версія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$9,1 М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MVP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$3,7 М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Строки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MVP — 3 міс, повна версія — 8 міс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ROI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~2,0 року (ефект ~190 млн грн/рік)</w:t>
            </w:r>
          </w:p>
        </w:tc>
      </w:tr>
    </w:tbl>
    <w:p/>
    <w:p/>
    <w:p/>
    <w:p>
      <w:pPr>
        <w:pStyle w:val="Heading2"/>
      </w:pPr>
      <w:r>
        <w:t>Права на продукт, передача у власність і відсутність залежності від розробника</w:t>
      </w:r>
    </w:p>
    <w:p/>
    <w:p>
      <w:r>
        <w:t>Ці умови застосовуються до кожного продукту окремо і є обов'язковою частиною будь-якого з контрактів.</w:t>
      </w:r>
    </w:p>
    <w:p/>
    <w:p>
      <w:pPr>
        <w:pStyle w:val="Heading3"/>
      </w:pPr>
      <w:r>
        <w:t>Передача у власність</w:t>
      </w:r>
    </w:p>
    <w:p/>
    <w:p>
      <w:r>
        <w:t>Замовнику передається програмний продукт та його код у повну власність, разом із правом експлуатації без технологічної залежності від розробника. Це разовий продаж завершеного рішення, а не підписка чи оренда.</w:t>
      </w:r>
    </w:p>
    <w:p/>
    <w:p>
      <w:pPr>
        <w:pStyle w:val="Heading3"/>
      </w:pPr>
      <w:r>
        <w:t>Авторські права, методологія та ноу-хау</w:t>
      </w:r>
    </w:p>
    <w:p/>
    <w:p>
      <w:r>
        <w:t>При повній передачі продукту й коду авторські права, методологія, базові алгоритми та ноу-хау залишаються за розробником — щоб розробник міг розвивати на їх основі нові продукти й модулі для інших проектів. Замовник отримує все необхідне для повноцінного володіння та експлуатації свого екземпляра продукту; розробник зберігає інтелектуальну основу для власного розвитку.</w:t>
      </w:r>
    </w:p>
    <w:p/>
    <w:p>
      <w:pPr>
        <w:pStyle w:val="Heading3"/>
      </w:pPr>
      <w:r>
        <w:t>Повна передача без подальших зобов'язань (відсутність vendor lock-in)</w:t>
      </w:r>
    </w:p>
    <w:p/>
    <w:p>
      <w:pPr>
        <w:pStyle w:val="ListBullet"/>
      </w:pPr>
      <w:r>
        <w:t>Передача є остаточною: після приймання продукт належить Замовнику.</w:t>
      </w:r>
    </w:p>
    <w:p>
      <w:pPr>
        <w:pStyle w:val="ListBullet"/>
      </w:pPr>
      <w:r>
        <w:t>Замовник вправі найняти будь-якого іншого виконавця для подальшого розвитку, доопрацювання чи супроводу продукту.</w:t>
      </w:r>
    </w:p>
    <w:p>
      <w:pPr>
        <w:pStyle w:val="ListBullet"/>
      </w:pPr>
      <w:r>
        <w:t>Відсутній vendor lock-in: відкриті інтерфейси й документація передаються разом із кодом.</w:t>
      </w:r>
    </w:p>
    <w:p>
      <w:pPr>
        <w:pStyle w:val="ListBullet"/>
      </w:pPr>
      <w:r>
        <w:t>Розробник не зобов'язаний здійснювати подальший супровід; супровід, якщо потрібен, оформлюється окремою добровільною угодою, а не є умовою постачання.</w:t>
      </w:r>
    </w:p>
    <w:p/>
    <w:p/>
    <w:p>
      <w:pPr>
        <w:pStyle w:val="Heading2"/>
      </w:pPr>
      <w:r>
        <w:t>Як читати цей пакет</w:t>
      </w:r>
    </w:p>
    <w:p/>
    <w:p>
      <w:r>
        <w:t>Пакет побудований так, щоб кожна роль у Правлінні та супровідних службах знайшла потрібне за відведений час.</w:t>
      </w:r>
    </w:p>
    <w:p/>
    <w:p>
      <w:pPr>
        <w:pStyle w:val="Heading3"/>
      </w:pPr>
      <w:r>
        <w:t>Маршрут «Executive за 5 хвилин» — для членів Правління, Голови</w:t>
      </w:r>
    </w:p>
    <w:p/>
    <w:p>
      <w:pPr>
        <w:pStyle w:val="ListNumber"/>
      </w:pPr>
      <w:r>
        <w:t>Цей титульний документ — анотація та блок Продукту №1 вище.</w:t>
      </w:r>
    </w:p>
    <w:p>
      <w:pPr>
        <w:pStyle w:val="ListNumber"/>
      </w:pPr>
      <w:r>
        <w:t>Annex 2. Executive Summary — проблема, рішення, ціна, окупність на двох сторінках.</w:t>
      </w:r>
    </w:p>
    <w:p>
      <w:pPr>
        <w:pStyle w:val="ListNumber"/>
      </w:pPr>
      <w:r>
        <w:t>Таблиця «Комерційна рамка» нижче.</w:t>
      </w:r>
    </w:p>
    <w:p/>
    <w:p>
      <w:pPr>
        <w:ind w:left="454"/>
      </w:pPr>
      <w:r>
        <w:rPr>
          <w:i/>
        </w:rPr>
        <w:t>Достатньо, щоб ухвалити рішення щодо Продукту №1 і визначити, чи цікаві Продукти №2/№3 як окремі наступні проекти.</w:t>
      </w:r>
    </w:p>
    <w:p/>
    <w:p>
      <w:pPr>
        <w:pStyle w:val="Heading3"/>
      </w:pPr>
      <w:r>
        <w:t>Маршрут «Технічний за 30 хвилин» — для технічного директора, ІТ, диспетчерського блоку</w:t>
      </w:r>
    </w:p>
    <w:p/>
    <w:p>
      <w:pPr>
        <w:pStyle w:val="ListNumber"/>
      </w:pPr>
      <w:r>
        <w:t>Annex 3. Огляд рішення — Продукт №1 і (за запитом) Продукти №2, №3.</w:t>
      </w:r>
    </w:p>
    <w:p>
      <w:pPr>
        <w:pStyle w:val="ListNumber"/>
      </w:pPr>
      <w:r>
        <w:t>Annex 13. Технічна концепція — як це працює технічно.</w:t>
      </w:r>
    </w:p>
    <w:p>
      <w:pPr>
        <w:pStyle w:val="ListNumber"/>
      </w:pPr>
      <w:r>
        <w:t>Annexes 5–8. ТЗ Продуктів №1, №2, №3 та ТЗ опційної платформи (ISO/IEC/IEEE 29148).</w:t>
      </w:r>
    </w:p>
    <w:p>
      <w:pPr>
        <w:pStyle w:val="ListNumber"/>
      </w:pPr>
      <w:r>
        <w:t>Annex 9. Безпека та Annex 12. Roadmap.</w:t>
      </w:r>
    </w:p>
    <w:p/>
    <w:p>
      <w:pPr>
        <w:pStyle w:val="Heading3"/>
      </w:pPr>
      <w:r>
        <w:t>Маршрут «Закупівлі та фінанси» — для дирекції із закупівель, фінансового блоку, юридичної служби</w:t>
      </w:r>
    </w:p>
    <w:p/>
    <w:p>
      <w:pPr>
        <w:pStyle w:val="ListNumber"/>
      </w:pPr>
      <w:r>
        <w:t>Annex 4. Комерційна пропозиція і Annex 10. Кошторис.</w:t>
      </w:r>
    </w:p>
    <w:p>
      <w:pPr>
        <w:pStyle w:val="ListNumber"/>
      </w:pPr>
      <w:r>
        <w:t>Annex 11. Обґрунтування вартості (70 джерел, профільні цінові якорі, методологія).</w:t>
      </w:r>
    </w:p>
    <w:p>
      <w:pPr>
        <w:pStyle w:val="ListNumber"/>
      </w:pPr>
      <w:r>
        <w:t>Annex 14. ROI (з аналізом чутливості).</w:t>
      </w:r>
    </w:p>
    <w:p>
      <w:pPr>
        <w:pStyle w:val="ListNumber"/>
      </w:pPr>
      <w:r>
        <w:t>Annex 17. Запит даних і розділ «Закупівельно-правова рамка» цього документа.</w:t>
      </w:r>
    </w:p>
    <w:p/>
    <w:p/>
    <w:p>
      <w:pPr>
        <w:pStyle w:val="Heading2"/>
      </w:pPr>
      <w:r>
        <w:t>Структура пакету (карта навігації)</w:t>
      </w:r>
    </w:p>
    <w:p/>
    <w:p>
      <w:pPr>
        <w:pStyle w:val="Heading3"/>
      </w:pPr>
      <w:r>
        <w:t>Основна частина</w:t>
      </w:r>
    </w:p>
    <w:p/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  <w:sz w:val="20"/>
              </w:rPr>
              <w:t>№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Розділ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Призначення (1 рядок)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Для кого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0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Зведена пропозиція (цей документ)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Єдина точка входу: Продукт №1, два додаткові продукти за запитом, опційна платформа, права/передача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Усе Правління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—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Executive Summary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Проблема → рішення → ціна → окупність стисло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Правління, Голова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—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Огляд рішення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Продукт №1 + два продукти за запитом; платформа як опція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Технічний блок, Правління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—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Комерційна частина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Модель A (три окремі продукти) — основа; Модель B (платформа) — опція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Закупівлі, фінанси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—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ROI-зведення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Окупність кожного продукту окремо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Фінанси, Правління</w:t>
            </w:r>
          </w:p>
        </w:tc>
      </w:tr>
    </w:tbl>
    <w:p/>
    <w:p/>
    <w:p>
      <w:pPr>
        <w:ind w:left="454"/>
      </w:pPr>
      <w:r>
        <w:rPr>
          <w:i/>
        </w:rPr>
        <w:t>Припущення. Executive Summary, Огляд рішення, Комерційна пропозиція та ROI існують як окремі документи і одночасно реферуються в основній частині цього зведення.</w:t>
      </w:r>
    </w:p>
    <w:p/>
    <w:p>
      <w:pPr>
        <w:pStyle w:val="Heading3"/>
      </w:pPr>
      <w:r>
        <w:t>Додатки (Annexes)</w:t>
      </w:r>
    </w:p>
    <w:p/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b/>
                <w:sz w:val="20"/>
              </w:rPr>
              <w:t>Annex</w:t>
            </w:r>
          </w:p>
        </w:tc>
        <w:tc>
          <w:tcPr>
            <w:tcW w:type="dxa" w:w="1728"/>
          </w:tcPr>
          <w:p>
            <w:r>
              <w:rPr>
                <w:b/>
                <w:sz w:val="20"/>
              </w:rPr>
              <w:t>Документ</w:t>
            </w:r>
          </w:p>
        </w:tc>
        <w:tc>
          <w:tcPr>
            <w:tcW w:type="dxa" w:w="1728"/>
          </w:tcPr>
          <w:p>
            <w:r>
              <w:rPr>
                <w:b/>
                <w:sz w:val="20"/>
              </w:rPr>
              <w:t>Призначення (1 рядок)</w:t>
            </w:r>
          </w:p>
        </w:tc>
        <w:tc>
          <w:tcPr>
            <w:tcW w:type="dxa" w:w="1728"/>
          </w:tcPr>
          <w:p>
            <w:r>
              <w:rPr>
                <w:b/>
                <w:sz w:val="20"/>
              </w:rPr>
              <w:t>Статус</w:t>
            </w:r>
          </w:p>
        </w:tc>
        <w:tc>
          <w:tcPr>
            <w:tcW w:type="dxa" w:w="1728"/>
          </w:tcPr>
          <w:p>
            <w:r>
              <w:rPr>
                <w:b/>
                <w:sz w:val="20"/>
              </w:rPr>
              <w:t>Для кого</w:t>
            </w:r>
          </w:p>
        </w:tc>
      </w:tr>
      <w:tr>
        <w:tc>
          <w:tcPr>
            <w:tcW w:type="dxa" w:w="1728"/>
          </w:tcPr>
          <w:p>
            <w:r>
              <w:rPr>
                <w:sz w:val="20"/>
              </w:rPr>
              <w:t>1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Супровідний лист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Офіційне звернення до Замовника, контекст подання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Готовий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Голова, канцелярія</w:t>
            </w:r>
          </w:p>
        </w:tc>
      </w:tr>
      <w:tr>
        <w:tc>
          <w:tcPr>
            <w:tcW w:type="dxa" w:w="1728"/>
          </w:tcPr>
          <w:p>
            <w:r>
              <w:rPr>
                <w:sz w:val="20"/>
              </w:rPr>
              <w:t>2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Executive Summary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Рішення про «йти далі» за 5 хвилин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Готовий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Правління</w:t>
            </w:r>
          </w:p>
        </w:tc>
      </w:tr>
      <w:tr>
        <w:tc>
          <w:tcPr>
            <w:tcW w:type="dxa" w:w="1728"/>
          </w:tcPr>
          <w:p>
            <w:r>
              <w:rPr>
                <w:sz w:val="20"/>
              </w:rPr>
              <w:t>3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Огляд рішення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Продукт №1 та (за запитом) Продукти №2, №3; платформа як опція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Готовий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Технічний блок</w:t>
            </w:r>
          </w:p>
        </w:tc>
      </w:tr>
      <w:tr>
        <w:tc>
          <w:tcPr>
            <w:tcW w:type="dxa" w:w="1728"/>
          </w:tcPr>
          <w:p>
            <w:r>
              <w:rPr>
                <w:sz w:val="20"/>
              </w:rPr>
              <w:t>4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Комерційна пропозиція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Модель A (три продукти роздільно) та опційна Модель B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Готовий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Закупівлі, фінанси</w:t>
            </w:r>
          </w:p>
        </w:tc>
      </w:tr>
      <w:tr>
        <w:tc>
          <w:tcPr>
            <w:tcW w:type="dxa" w:w="1728"/>
          </w:tcPr>
          <w:p>
            <w:r>
              <w:rPr>
                <w:sz w:val="20"/>
              </w:rPr>
              <w:t>5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ТЗ Продукту №1 — Управління ризиками безпеки та прогноз загроз (ISO/IEC/IEEE 29148)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Формальні вимоги до головного продукту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Готовий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ІТ, диспетчерський блок, закупівлі</w:t>
            </w:r>
          </w:p>
        </w:tc>
      </w:tr>
      <w:tr>
        <w:tc>
          <w:tcPr>
            <w:tcW w:type="dxa" w:w="1728"/>
          </w:tcPr>
          <w:p>
            <w:r>
              <w:rPr>
                <w:sz w:val="20"/>
              </w:rPr>
              <w:t>6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ТЗ Продукту №2 — Виявлення зловживань на енергоринку (ISO/IEC/IEEE 29148)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Формальні вимоги до системи нагляду REMIT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Готовий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Ринковий блок, комплаєнс</w:t>
            </w:r>
          </w:p>
        </w:tc>
      </w:tr>
      <w:tr>
        <w:tc>
          <w:tcPr>
            <w:tcW w:type="dxa" w:w="1728"/>
          </w:tcPr>
          <w:p>
            <w:r>
              <w:rPr>
                <w:sz w:val="20"/>
              </w:rPr>
              <w:t>7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ТЗ Продукту №3 — Прогноз технологічних втрат (ISO/IEC/IEEE 29148)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Формальні вимоги до контролю техн. втрат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Готовий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Технічний блок, диспетчерська</w:t>
            </w:r>
          </w:p>
        </w:tc>
      </w:tr>
      <w:tr>
        <w:tc>
          <w:tcPr>
            <w:tcW w:type="dxa" w:w="1728"/>
          </w:tcPr>
          <w:p>
            <w:r>
              <w:rPr>
                <w:sz w:val="20"/>
              </w:rPr>
              <w:t>8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ТЗ опційної платформи (ISO/IEC/IEEE 29148)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Спільна шина даних на випадок об'єднання продуктів (Модель B)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Готовий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ІТ, архітектори</w:t>
            </w:r>
          </w:p>
        </w:tc>
      </w:tr>
      <w:tr>
        <w:tc>
          <w:tcPr>
            <w:tcW w:type="dxa" w:w="1728"/>
          </w:tcPr>
          <w:p>
            <w:r>
              <w:rPr>
                <w:sz w:val="20"/>
              </w:rPr>
              <w:t>9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Безпека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Захист контуру, відповідність кіберкатегорії Catalogue of Measures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Готовий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CISO, ІТ-безпека</w:t>
            </w:r>
          </w:p>
        </w:tc>
      </w:tr>
      <w:tr>
        <w:tc>
          <w:tcPr>
            <w:tcW w:type="dxa" w:w="1728"/>
          </w:tcPr>
          <w:p>
            <w:r>
              <w:rPr>
                <w:sz w:val="20"/>
              </w:rPr>
              <w:t>10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Кошторис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Постатейна вартість за продуктами та етапами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Готовий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Закупівлі, фінанси</w:t>
            </w:r>
          </w:p>
        </w:tc>
      </w:tr>
      <w:tr>
        <w:tc>
          <w:tcPr>
            <w:tcW w:type="dxa" w:w="1728"/>
          </w:tcPr>
          <w:p>
            <w:r>
              <w:rPr>
                <w:sz w:val="20"/>
              </w:rPr>
              <w:t>11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Обґрунтування вартості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70 джерел, профільні цінові якорі ринку, методологія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Готовий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Закупівлі, аудит, фінанси</w:t>
            </w:r>
          </w:p>
        </w:tc>
      </w:tr>
      <w:tr>
        <w:tc>
          <w:tcPr>
            <w:tcW w:type="dxa" w:w="1728"/>
          </w:tcPr>
          <w:p>
            <w:r>
              <w:rPr>
                <w:sz w:val="20"/>
              </w:rPr>
              <w:t>12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Roadmap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Календарний план MVP → повна версія за продуктами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Готовий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Правління, ПМО</w:t>
            </w:r>
          </w:p>
        </w:tc>
      </w:tr>
      <w:tr>
        <w:tc>
          <w:tcPr>
            <w:tcW w:type="dxa" w:w="1728"/>
          </w:tcPr>
          <w:p>
            <w:r>
              <w:rPr>
                <w:sz w:val="20"/>
              </w:rPr>
              <w:t>13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Технічна концепція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Як рішення працює технічно, від даних до дій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Готовий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Технічний блок</w:t>
            </w:r>
          </w:p>
        </w:tc>
      </w:tr>
      <w:tr>
        <w:tc>
          <w:tcPr>
            <w:tcW w:type="dxa" w:w="1728"/>
          </w:tcPr>
          <w:p>
            <w:r>
              <w:rPr>
                <w:sz w:val="20"/>
              </w:rPr>
              <w:t>14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ROI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Розрахунок окупності за кожним продуктом окремо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Готовий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Фінанси, Правління</w:t>
            </w:r>
          </w:p>
        </w:tc>
      </w:tr>
      <w:tr>
        <w:tc>
          <w:tcPr>
            <w:tcW w:type="dxa" w:w="1728"/>
          </w:tcPr>
          <w:p>
            <w:r>
              <w:rPr>
                <w:sz w:val="20"/>
              </w:rPr>
              <w:t>17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Запит даних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Перелік даних, потрібних від Замовника для старту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Готовий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ІТ, власники даних</w:t>
            </w:r>
          </w:p>
        </w:tc>
      </w:tr>
      <w:tr>
        <w:tc>
          <w:tcPr>
            <w:tcW w:type="dxa" w:w="1728"/>
          </w:tcPr>
          <w:p>
            <w:r>
              <w:rPr>
                <w:sz w:val="20"/>
              </w:rPr>
              <w:t>18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Досвід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Релевантний досвід виконавця і демонстратор концепції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Готовий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Правління, закупівлі</w:t>
            </w:r>
          </w:p>
        </w:tc>
      </w:tr>
    </w:tbl>
    <w:p/>
    <w:p/>
    <w:p>
      <w:pPr>
        <w:ind w:left="454"/>
      </w:pPr>
      <w:r>
        <w:rPr>
          <w:i/>
        </w:rPr>
        <w:t>Документи у підготовці (не входять до цього подання як готові). TCO, Compliance Matrix та Risk Register формуються на основі вже наявних кошторису, обґрунтування вартості й матеріалів з безпеки/комплаєнсу та будуть надані окремим доповненням.</w:t>
      </w:r>
    </w:p>
    <w:p/>
    <w:p/>
    <w:p>
      <w:pPr>
        <w:pStyle w:val="Heading2"/>
      </w:pPr>
      <w:r>
        <w:t>Контекст і обґрунтування потреби</w:t>
      </w:r>
    </w:p>
    <w:p/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  <w:sz w:val="20"/>
              </w:rPr>
              <w:t>Факт</w:t>
            </w:r>
          </w:p>
        </w:tc>
        <w:tc>
          <w:tcPr>
            <w:tcW w:type="dxa" w:w="2880"/>
          </w:tcPr>
          <w:p>
            <w:r>
              <w:rPr>
                <w:b/>
                <w:sz w:val="20"/>
              </w:rPr>
              <w:t>Значення</w:t>
            </w:r>
          </w:p>
        </w:tc>
        <w:tc>
          <w:tcPr>
            <w:tcW w:type="dxa" w:w="2880"/>
          </w:tcPr>
          <w:p>
            <w:r>
              <w:rPr>
                <w:b/>
                <w:sz w:val="20"/>
              </w:rPr>
              <w:t>Дата / джерело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Синхронізація з ENTSO-E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Виконано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16.03.2022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Повне членство в ENTSO-E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Набуто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14.12.2023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Розширення транскордонної ємності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1200→1700 МВт (+500 МВт)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28.11.2023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Кібератака на ОСП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Збиток 90–100 млн EUR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22.03.2024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Прямі збитки передачі (оцінка KSE)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$2,1 млрд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—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Чистий збиток оператора за 2024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37,7 млрд грн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2024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Інвестиційна програма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~4,36 млрд грн/рік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—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Catalogue of Measures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4 категорії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28.06.2017</w:t>
            </w:r>
          </w:p>
        </w:tc>
      </w:tr>
    </w:tbl>
    <w:p/>
    <w:p/>
    <w:p>
      <w:r>
        <w:t>Чотири категорії Catalogue of Measures, на які прямо працює пакет: Protection and Dynamic Stability (захист і динамічна стійкість); Operations and Markets (експлуатація та ринки); Legal and Regulatory (право і регулювання); IT including Cybersecurity (ІТ, зокрема кібербезпека). Наслідки кібератаки 22.03.2024 безпосередньо обґрунтовують пріоритет Продукту №1 (управління ризиками безпеки та прогноз загроз).</w:t>
      </w:r>
    </w:p>
    <w:p/>
    <w:p/>
    <w:p>
      <w:pPr>
        <w:pStyle w:val="Heading2"/>
      </w:pPr>
      <w:r>
        <w:t>Комерційна частина</w:t>
      </w:r>
    </w:p>
    <w:p/>
    <w:p>
      <w:r>
        <w:t>Основа пропозиції — Модель A: три окремі продукти, кожен — самостійним контрактом. Базовий і пріоритетний — Продукт №1 (готовий). Продукти №2 і №3 — окремими проектами за запитом, кожен зі своїм ТЗ, бюджетом і додатковим узгодженням.</w:t>
      </w:r>
    </w:p>
    <w:p/>
    <w:p>
      <w:pPr>
        <w:pStyle w:val="Heading3"/>
      </w:pPr>
      <w:r>
        <w:t>Ціни продуктів</w:t>
      </w:r>
    </w:p>
    <w:p/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  <w:sz w:val="20"/>
              </w:rPr>
              <w:t>Продукт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Повна версія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MVP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Окупність (базовий ROI)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№1 — Управління ризиками безпеки та прогноз загроз (готовий, головний)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$26,9 М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$10,8 М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~1,9 року (600 млн грн/рік)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№2 — Виявлення зловживань на енергоринку (дешевше за №1)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$15,1 М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$6,0 М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~4,7 року (134 млн грн/рік; драйвер — комплаєнс REMIT)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№3 — Прогноз технологічних втрат (найбільш готовий за базою)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$9,1 М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$3,7 М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~2,0 року (190 млн грн/рік)</w:t>
            </w:r>
          </w:p>
        </w:tc>
      </w:tr>
    </w:tbl>
    <w:p/>
    <w:p/>
    <w:p>
      <w:pPr>
        <w:pStyle w:val="Heading3"/>
      </w:pPr>
      <w:r>
        <w:t>Модель придбання (основна) і опція</w:t>
      </w:r>
    </w:p>
    <w:p/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  <w:sz w:val="20"/>
              </w:rPr>
              <w:t>Модель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Опис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Вартість (повна)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Статус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Модель A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Три продукти роздільно, кожен — окремий проект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$51,1 М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Основа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Модель B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Опційне об'єднання трьох продуктів спільною шиною у платформу, −25 %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$38,4 М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Опція на майбутнє, не обов'язкова</w:t>
            </w:r>
          </w:p>
        </w:tc>
      </w:tr>
    </w:tbl>
    <w:p/>
    <w:p/>
    <w:p>
      <w:pPr>
        <w:ind w:left="454"/>
      </w:pPr>
      <w:r>
        <w:rPr>
          <w:i/>
        </w:rPr>
        <w:t>Можна замовити лише Продукт №1, або Продукт №1 плюс один із решти, або всі три — у будь-якій черзі. Платформа (Модель B) набуває сенсу лише якщо Замовник вирішить будувати/мати всі три продукти й захоче їх інтегрувати; вона не потрібна для жодного окремого продукту.</w:t>
      </w:r>
    </w:p>
    <w:p/>
    <w:p>
      <w:pPr>
        <w:pStyle w:val="Heading3"/>
      </w:pPr>
      <w:r>
        <w:t>Як читати ціну: зіставлення з профільними аналогами</w:t>
      </w:r>
    </w:p>
    <w:p/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  <w:sz w:val="20"/>
              </w:rPr>
              <w:t>Зіставний проєкт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Сума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Що входить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Як співвідноситься з пакетом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Siemens EMS/SCADA для PSE (Польща)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$20 М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один EMS/SCADA для ОСП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Продукт №1 ($26,9 М) — ширший скоуп, ніж один EMS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EBRD EMS+SCADA (Боснія)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EUR 8,5 М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EMS+SCADA меншого ОСП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менший масштаб мережі та функцій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Nasdaq SMARTS (платформа ринкового нагляду)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$77 М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повна платформа ринкового нагляду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Продукт №2 ($15,1 М) — нагляд REMIT у цільовому, меншому обсязі</w:t>
            </w:r>
          </w:p>
        </w:tc>
      </w:tr>
    </w:tbl>
    <w:p/>
    <w:p/>
    <w:p>
      <w:pPr>
        <w:ind w:left="454"/>
      </w:pPr>
      <w:r>
        <w:rPr>
          <w:i/>
        </w:rPr>
        <w:t>Щодо надбавок до ринкової бази. До нижньої ринкової планки застосовано організаційні надбавки (загальновиробничі витрати, допуск/clearance) та надбавку за безпеку й ризик постачання в умовах воєнного стану — вона покриває посилені вимоги кібербезпеки (після атаки 22.03.2024), резервування та ризики постачання обладнання й фахівців у зону критичної інфраструктури. Якщо відповідна частина робіт фінансується донорами (ENTSO-E/ЄБРР гранти), ця надбавка відповідно зменшує навантаження на власні кошти Замовника. Постатейна структура — в Annex 11.</w:t>
      </w:r>
    </w:p>
    <w:p/>
    <w:p>
      <w:pPr>
        <w:pStyle w:val="Heading3"/>
      </w:pPr>
      <w:r>
        <w:t>Опційна Модель B: звідки береться економія −25 % ($12,7 М)</w:t>
      </w:r>
    </w:p>
    <w:p/>
    <w:p>
      <w:r>
        <w:t>Якщо Замовник захоче об'єднати всі три продукти, економія Моделі B — це інженерна синергія від побудови на спільному фундаменті, а не маркетингова знижка:</w:t>
      </w:r>
    </w:p>
    <w:p/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  <w:sz w:val="20"/>
              </w:rPr>
              <w:t>Джерело синергії</w:t>
            </w:r>
          </w:p>
        </w:tc>
        <w:tc>
          <w:tcPr>
            <w:tcW w:type="dxa" w:w="2880"/>
          </w:tcPr>
          <w:p>
            <w:r>
              <w:rPr>
                <w:b/>
                <w:sz w:val="20"/>
              </w:rPr>
              <w:t>Орієнтовний внесок</w:t>
            </w:r>
          </w:p>
        </w:tc>
        <w:tc>
          <w:tcPr>
            <w:tcW w:type="dxa" w:w="2880"/>
          </w:tcPr>
          <w:p>
            <w:r>
              <w:rPr>
                <w:b/>
                <w:sz w:val="20"/>
              </w:rPr>
              <w:t>Суть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Спільна інтеграційна шина даних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~$4–5 М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один контур інтеграції замість трьох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Єдиний контур кібербезпеки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~$3–4 М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одна архітектура захисту/аудиту на три продукти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Спільна ідентифікація та модель даних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~$2–3 М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єдина модель об'єктів і користувачів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Єдина команда й управління проєктом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~$1–2 М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одна команда замість трьох паралельних</w:t>
            </w:r>
          </w:p>
        </w:tc>
      </w:tr>
    </w:tbl>
    <w:p/>
    <w:p/>
    <w:p>
      <w:pPr>
        <w:ind w:left="454"/>
      </w:pPr>
      <w:r>
        <w:rPr>
          <w:i/>
        </w:rPr>
        <w:t>Модель A не завищена на 25 %: у ній кожен продукт несе власну повну вартість інтеграції, безпеки та команди — як і має бути для самостійного продукту. Модель B усуває потрійне дублювання лише за умови об'єднання всіх трьох.</w:t>
      </w:r>
    </w:p>
    <w:p/>
    <w:p>
      <w:pPr>
        <w:pStyle w:val="Heading3"/>
      </w:pPr>
      <w:r>
        <w:t>Строки впровадження</w:t>
      </w:r>
    </w:p>
    <w:p/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  <w:sz w:val="20"/>
              </w:rPr>
              <w:t>Продукт / компонент</w:t>
            </w:r>
          </w:p>
        </w:tc>
        <w:tc>
          <w:tcPr>
            <w:tcW w:type="dxa" w:w="2880"/>
          </w:tcPr>
          <w:p>
            <w:r>
              <w:rPr>
                <w:b/>
                <w:sz w:val="20"/>
              </w:rPr>
              <w:t>MVP</w:t>
            </w:r>
          </w:p>
        </w:tc>
        <w:tc>
          <w:tcPr>
            <w:tcW w:type="dxa" w:w="2880"/>
          </w:tcPr>
          <w:p>
            <w:r>
              <w:rPr>
                <w:b/>
                <w:sz w:val="20"/>
              </w:rPr>
              <w:t>Повна версія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№1 — Управління ризиками безпеки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6 міс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14 міс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№2 — Виявлення зловживань на ринку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4 міс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10 міс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№3 — Прогноз технологічних втрат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3 міс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8 міс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Опційна платформа (Модель B)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9 міс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18 міс</w:t>
            </w:r>
          </w:p>
        </w:tc>
      </w:tr>
    </w:tbl>
    <w:p/>
    <w:p/>
    <w:p/>
    <w:p>
      <w:pPr>
        <w:pStyle w:val="Heading2"/>
      </w:pPr>
      <w:r>
        <w:t>ROI-зведення</w:t>
      </w:r>
    </w:p>
    <w:p/>
    <w:p>
      <w:r>
        <w:t>Окупність рахується за кожним продуктом окремо (кожен — самостійний проект).</w:t>
      </w:r>
    </w:p>
    <w:p/>
    <w:p>
      <w:pPr>
        <w:pStyle w:val="ListBullet"/>
      </w:pPr>
      <w:r>
        <w:t>Продукт №1 — окупність ~1,9 року, ефект ~600 млн грн/рік. Головний продукт, готовий.</w:t>
      </w:r>
    </w:p>
    <w:p>
      <w:pPr>
        <w:pStyle w:val="ListBullet"/>
      </w:pPr>
      <w:r>
        <w:t>Продукт №3 — окупність ~2,0 року, ефект ~190 млн грн/рік. Найбільш готовий за базою обленерго.</w:t>
      </w:r>
    </w:p>
    <w:p>
      <w:pPr>
        <w:pStyle w:val="ListBullet"/>
      </w:pPr>
      <w:r>
        <w:t>Продукт №2 — окупність ~4,7 року, ефект ~134 млн грн/рік; прямий ROI слабкий, основний драйвер — обов'язковий комплаєнс REMIT і запобігання ринковим зловживанням.</w:t>
      </w:r>
    </w:p>
    <w:p/>
    <w:p>
      <w:pPr>
        <w:pStyle w:val="Heading3"/>
      </w:pPr>
      <w:r>
        <w:t>Чутливість до драйвера ємності</w:t>
      </w:r>
    </w:p>
    <w:p/>
    <w:p>
      <w:r>
        <w:t>Частина ефекту Продуктів №1 і №3 прив'язана до реалізації +500 МВт транскордонної ємності ENTSO-E (1200 → 1700 МВт, відкрито 28.11.2023):</w:t>
      </w:r>
    </w:p>
    <w:p/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  <w:sz w:val="20"/>
              </w:rPr>
              <w:t>Сценарій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Реалізація +500 МВт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Вплив на ефект №1/№3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Наслідок для окупності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Базовий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повна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ефекти №1 (600) та №3 (190 млн грн/рік) досяжні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№1 ~1,9 р, №3 ~2,0 р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Песимістичний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часткова / падіння перетоків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частина ефекту, прив'язана до зрослих перетоків, не реалізується; зберігається базова частина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окупність подовжується пропорційно недореалізованій частці ємності</w:t>
            </w:r>
          </w:p>
        </w:tc>
      </w:tr>
    </w:tbl>
    <w:p/>
    <w:p/>
    <w:p>
      <w:pPr>
        <w:ind w:left="454"/>
      </w:pPr>
      <w:r>
        <w:rPr>
          <w:i/>
        </w:rPr>
        <w:t>Ефект Продуктів №1/№3 не зникає повністю навіть у песимістичному сценарії, але термін окупності чутливий до фактичного завантаження нової ємності. Деталізація — в Annex 14.</w:t>
      </w:r>
    </w:p>
    <w:p/>
    <w:p>
      <w:pPr>
        <w:pStyle w:val="Heading3"/>
      </w:pPr>
      <w:r>
        <w:t>Продукт №2 та обсяг витрат на комплаєнс REMIT</w:t>
      </w:r>
    </w:p>
    <w:p/>
    <w:p>
      <w:pPr>
        <w:pStyle w:val="ListBullet"/>
      </w:pPr>
      <w:r>
        <w:t>MVP під комплаєнс — $6,0 М забезпечує мінімально-достатній обсяг для відповідності REMIT (моніторинг угод, виявлення зловживань, звітність регулятору).</w:t>
      </w:r>
    </w:p>
    <w:p>
      <w:pPr>
        <w:pStyle w:val="ListBullet"/>
      </w:pPr>
      <w:r>
        <w:t>Повна версія ($15,1 М) додає поглиблену аналітику, ширше покриття джерел даних і автоматизацію розслідувань — понад мінімальну вимогу комплаєнсу.</w:t>
      </w:r>
    </w:p>
    <w:p/>
    <w:p>
      <w:pPr>
        <w:ind w:left="454"/>
      </w:pPr>
      <w:r>
        <w:rPr>
          <w:i/>
        </w:rPr>
        <w:t>Рекомендація для Продукту №2: старт із MVP як мінімально-достатнього під REMIT, із подальшим розширенням за фактичною потребою.</w:t>
      </w:r>
    </w:p>
    <w:p/>
    <w:p/>
    <w:p>
      <w:pPr>
        <w:pStyle w:val="Heading2"/>
      </w:pPr>
      <w:r>
        <w:t>Підтвердження спроможності (Proof)</w:t>
      </w:r>
    </w:p>
    <w:p/>
    <w:p>
      <w:r>
        <w:t>Робоче демо Продукту №1 доступне за адресою https://ukrenergo.radai-1984.dev; там само показані демонстратори концепції Продуктів №2 і №3. Важливе застереження: це матеріали на синтетичних даних, розгорнуті на сторонньому домені, — НЕ пілот на реальних даних Укренерго і не доказ готовності контуру до бойової експлуатації. Їх призначення — показати логіку рішень до підписання контракту.</w:t>
      </w:r>
    </w:p>
    <w:p/>
    <w:p>
      <w:r>
        <w:t>Здатність виконавця побудувати систему класу ОСП із вимогами кібербезпеки доводиться не демо, а фактичним бекграундом в Annex 18 «Досвід»: завершені проєкти у критичній інфраструктурі / енергетиці, склад і кваліфікація команди, наявність необхідних допусків і відповідність вимогам безпеки, референси.</w:t>
      </w:r>
    </w:p>
    <w:p/>
    <w:p>
      <w:pPr>
        <w:ind w:left="454"/>
      </w:pPr>
      <w:r>
        <w:rPr>
          <w:i/>
        </w:rPr>
        <w:t>Припущення. Конкретний перелік референс-проєктів, склад команди, допуски та відповідність вимогам безпеки наводяться в Annex 18 і підлягають підтвердженню документально на запит Замовника.</w:t>
      </w:r>
    </w:p>
    <w:p/>
    <w:p/>
    <w:p>
      <w:pPr>
        <w:pStyle w:val="Heading2"/>
      </w:pPr>
      <w:r>
        <w:t>Закупівельно-правова рамка</w:t>
      </w:r>
    </w:p>
    <w:p/>
    <w:p>
      <w:r>
        <w:t>Суми продуктів і пакету вимагають конкурентної закупівлі — пропозиція не передбачає прямого вибору виконавця без процедури. Оскільки кожен продукт — окремий проект, закупівлі можуть оформлятися окремими процедурами за кожним продуктом.</w:t>
      </w:r>
    </w:p>
    <w:p/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b/>
                <w:sz w:val="20"/>
              </w:rPr>
              <w:t>Аспект</w:t>
            </w:r>
          </w:p>
        </w:tc>
        <w:tc>
          <w:tcPr>
            <w:tcW w:type="dxa" w:w="4320"/>
          </w:tcPr>
          <w:p>
            <w:r>
              <w:rPr>
                <w:b/>
                <w:sz w:val="20"/>
              </w:rPr>
              <w:t>Підхід (для опрацювання з юридичною службою та закупівлями)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Спосіб закупівлі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Відкриті торги через Prozorro або переговорна процедура за Законом № 922-VIII «Про публічні закупівлі»; конкретний спосіб визначає дирекція із закупівель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Окремість проектів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Кожен продукт — власне ТЗ (Annexes 5–7), окремий бюджет і окреме додаткове узгодження; можлива окрема процедура на кожен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Відповідність 922-VIII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Конкуренція, недискримінація, оприлюднення; технічні вимоги — за готовими ТЗ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Очікувана конкуренція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Профільні постачальники EMS/SCADA та систем нагляду (зіставні з Siemens, Nasdaq, постачальники ЄБРР-проєктів)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Модель оплати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Поетапна, прив'язана до Roadmap (Annex 12): оплата за приймання MVP та повної версії за продуктами/етапами, не авансом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Права на код і дані (IP), передача, vendor-lock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Повна передача програмного продукту й коду у власність Замовника + право експлуатації без залежності від розробника; авторські права, методологія, алгоритми та ноу-хау — за розробником. Остаточна передача без подальших зобов'язань: Замовник вправі найняти іншого виконавця, відсутній vendor lock-in, розробник не зобов'язаний супроводжувати — фіксується умовами кожного договору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SLA та гарантії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Рівні доступності, час відновлення, гарантійна підтримка — фіксуються у договорі за вимогами ТЗ і безпеки (Annexes 8, 9)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Джерело фінансування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Ймовірно — поєднання інвестиційної програми (~4,36 млрд грн/рік) та донорського фінансування (ENTSO-E / ЄБРР гранти); конкретне джерело визначає фінансовий блок</w:t>
            </w:r>
          </w:p>
        </w:tc>
      </w:tr>
    </w:tbl>
    <w:p/>
    <w:p/>
    <w:p>
      <w:pPr>
        <w:ind w:left="454"/>
      </w:pPr>
      <w:r>
        <w:rPr>
          <w:i/>
        </w:rPr>
        <w:t>Припущення. Цей розділ задає рамку; остаточний спосіб закупівлі, модель договору, SLA, умови щодо IP і джерело фінансування підлягають затвердженню юридичною службою, дирекцією із закупівель та фінансовим блоком Замовника.</w:t>
      </w:r>
    </w:p>
    <w:p/>
    <w:p/>
    <w:p>
      <w:pPr>
        <w:pStyle w:val="Heading2"/>
      </w:pPr>
      <w:r>
        <w:t>Резюме для рішення Правління</w:t>
      </w:r>
    </w:p>
    <w:p/>
    <w:p>
      <w:pPr>
        <w:pStyle w:val="ListNumber"/>
      </w:pPr>
      <w:r>
        <w:t>Замовник хотів Продукт №1 — і він уже готовий (робоче демо). Це головний предмет пропозиції: управління ризиками безпеки та прогноз загроз, $26,9 М (MVP $10,8 М), окупність ~1,9 року, разовий продаж із повною передачею у власність без залежності від розробника.</w:t>
      </w:r>
    </w:p>
    <w:p>
      <w:pPr>
        <w:pStyle w:val="ListNumber"/>
      </w:pPr>
      <w:r>
        <w:t>Ми можемо так само реалізувати ще два самостійні продукти окремими проектами за запитом: Продукт №2 (виявлення зловживань на ринку, $15,1 М — дешевше за №1) і Продукт №3 (прогноз технологічних втрат, $9,1 М, найбільш готовий за базою).</w:t>
      </w:r>
    </w:p>
    <w:p>
      <w:pPr>
        <w:pStyle w:val="ListNumber"/>
      </w:pPr>
      <w:r>
        <w:t>Кожен продукт — окремий проект із власним ТЗ, бюджетом і узгодженням (Модель A, $51,1 М за всі три, якщо замовляти всі). Можна почати лише з Продукту №1.</w:t>
      </w:r>
    </w:p>
    <w:p>
      <w:pPr>
        <w:pStyle w:val="ListNumber"/>
      </w:pPr>
      <w:r>
        <w:t>Права та передача. По кожному продукту: повна передача продукту й коду у власність + право експлуатації без технологічної залежності; авторські права, методологія та ноу-хау — за розробником; остаточна передача без зобов'язань, без vendor lock-in, з правом найняти іншого виконавця.</w:t>
      </w:r>
    </w:p>
    <w:p>
      <w:pPr>
        <w:pStyle w:val="ListNumber"/>
      </w:pPr>
      <w:r>
        <w:t>Горизонт розвитку (після Продукту №1). Коли Продукт №1 запрацює, відкривається наступний крок: згодом зв'язати три продукти спільною шиною у платформу (Модель B, $38,4 М, −25 %), де сигнал ризику з №1 живить нагляд №2 і перерахунок втрат №3 (1+1+1 &gt; 3). Це перспектива, а не зобов'язання: кожен продукт повноцінний і без цього, економія −25 % — винагорода за консолідацію.</w:t>
      </w:r>
    </w:p>
    <w:p>
      <w:pPr>
        <w:pStyle w:val="ListNumber"/>
      </w:pPr>
      <w:r>
        <w:t>Закупівля — конкурентна (Prozorro / переговорна процедура за 922-VIII), можливо окремими процедурами на кожен продукт; оплата поетапна.</w:t>
      </w:r>
    </w:p>
    <w:p/>
    <w:p>
      <w:pPr>
        <w:ind w:left="454"/>
      </w:pPr>
      <w:r>
        <w:rPr>
          <w:i/>
        </w:rPr>
        <w:t>Наступний крок: ухвалити рішення щодо Продукту №1 (готовий) і визначити, чи цікаві Продукти №2/№3 як окремі наступні проекти; доручити закупівлям і юридичній службі опрацювати закупівельно-правову рамку та умови IP/передачі, після чого опрацювати Annex 17 «Запит даних» для старту.</w:t>
      </w:r>
    </w:p>
    <w:p/>
    <w:p/>
    <w:p>
      <w:r>
        <w:t>*Документ підготовлено як титульний елемент пакету пропозиції для ПрАТ «НЕК «УКРЕНЕРГО» (ЄДРПОУ 00100227). Основа пропозиції — Продукт №1 (готовий) та Модель A (три окремі продукти); платформа (Модель B) подається виключно як необов'язкова опція на майбутнє. Усі цифрові показники наведені згідно з матеріалами пакету; перерахунки гривня/долар виконані за курсом 42 грн/$. Зіставлення з аналогами наведено у тому самому порядку величини та класу систем; Palantir-кейси (USDA $300 М, CDC $443 М) як системи іншого класу винесено в Annex 11 з відповідним застереженням і не використовуються як ціновий якір. Позиції, позначені як «припущення», та документи у підготовці (TCO, Compliance Matrix, Risk Register) підлягають підтвердженню/доданню за відповідними Annexes.*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40"/>
      <w:ind w:firstLine="709"/>
      <w:jc w:val="both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ind w:firstLine="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ind w:firstLine="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ind w:firstLine="0"/>
      <w:outlineLvl w:val="2"/>
    </w:pPr>
    <w:rPr>
      <w:rFonts w:asciiTheme="majorHAnsi" w:eastAsiaTheme="majorEastAsia" w:hAnsiTheme="majorHAnsi" w:cstheme="majorBidi" w:ascii="Times New Roman" w:hAnsi="Times New Roman"/>
      <w:b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