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b/>
          <w:sz w:val="22"/>
        </w:rPr>
        <w:t>Гриф обмеження доступу: «ЦІЛКОМ ТАЄМНО»</w:t>
        <w:br/>
        <w:t>Прим. № ____   (проєкт — до затвердження КСЗІ)</w:t>
      </w:r>
    </w:p>
    <w:tbl>
      <w:tblPr>
        <w:tblW w:type="auto" w:w="0"/>
        <w:tblLook w:firstColumn="1" w:firstRow="1" w:lastColumn="0" w:lastRow="0" w:noHBand="0" w:noVBand="1" w:val="04A0"/>
      </w:tblPr>
      <w:tblGrid>
        <w:gridCol w:w="4320"/>
        <w:gridCol w:w="4320"/>
      </w:tblGrid>
      <w:tr>
        <w:tc>
          <w:tcPr>
            <w:tcW w:type="dxa" w:w="4320"/>
          </w:tcPr>
          <w:p>
            <w:r>
              <w:rPr>
                <w:sz w:val="22"/>
              </w:rPr>
              <w:t>ПОГОДЖЕНО</w:t>
              <w:br/>
              <w:t>Генеральний директор ВИКОНАВЦЯ</w:t>
              <w:br/>
              <w:t>____________ ______________</w:t>
              <w:br/>
              <w:t>«___» __________ 20__ р.</w:t>
              <w:br/>
              <w:t xml:space="preserve">        М.П.</w:t>
            </w:r>
          </w:p>
        </w:tc>
        <w:tc>
          <w:tcPr>
            <w:tcW w:type="dxa" w:w="4320"/>
          </w:tcPr>
          <w:p>
            <w:r>
              <w:rPr>
                <w:sz w:val="22"/>
              </w:rPr>
              <w:t>ЗАТВЕРДЖУЮ</w:t>
              <w:br/>
              <w:t>Генеральний директор</w:t>
              <w:br/>
              <w:t>НЕК «УКРЕНЕРГО»</w:t>
              <w:br/>
              <w:t>____________ ______________</w:t>
              <w:br/>
              <w:t>«___» __________ 20__ р.</w:t>
              <w:br/>
              <w:t xml:space="preserve">        М.П.</w:t>
            </w:r>
          </w:p>
        </w:tc>
      </w:tr>
    </w:tbl>
    <w:p/>
    <w:p/>
    <w:p/>
    <w:p>
      <w:pPr>
        <w:jc w:val="center"/>
      </w:pPr>
      <w:r>
        <w:rPr>
          <w:b/>
          <w:sz w:val="28"/>
        </w:rPr>
        <w:t>АВТОМАТИЗОВАНА СИСТЕМА</w:t>
      </w:r>
    </w:p>
    <w:p>
      <w:pPr>
        <w:jc w:val="center"/>
      </w:pPr>
      <w:r>
        <w:rPr>
          <w:b/>
          <w:sz w:val="32"/>
        </w:rPr>
        <w:t>«Комплект із трьох самостійних продуктів для ОЕС України»</w:t>
      </w:r>
    </w:p>
    <w:p>
      <w:pPr>
        <w:jc w:val="center"/>
      </w:pPr>
      <w:r>
        <w:rPr>
          <w:b w:val="0"/>
          <w:sz w:val="24"/>
        </w:rPr>
        <w:t>(3П ОЕС)</w:t>
      </w:r>
    </w:p>
    <w:p>
      <w:pPr>
        <w:jc w:val="center"/>
      </w:pPr>
      <w:r>
        <w:rPr>
          <w:b w:val="0"/>
          <w:sz w:val="24"/>
        </w:rPr>
      </w:r>
    </w:p>
    <w:p>
      <w:pPr>
        <w:jc w:val="center"/>
      </w:pPr>
      <w:r>
        <w:rPr>
          <w:b/>
          <w:sz w:val="30"/>
        </w:rPr>
        <w:t>КОМЕРЦІЙНА ПРОПОЗИЦІЯ</w:t>
      </w:r>
    </w:p>
    <w:p/>
    <w:p/>
    <w:p>
      <w:pPr>
        <w:jc w:val="center"/>
      </w:pPr>
      <w:r>
        <w:rPr>
          <w:sz w:val="22"/>
        </w:rPr>
        <w:t>Позначення документа: UE-3PROD.КП</w:t>
      </w:r>
    </w:p>
    <w:p>
      <w:pPr>
        <w:jc w:val="center"/>
      </w:pPr>
      <w:r>
        <w:rPr>
          <w:sz w:val="22"/>
        </w:rPr>
        <w:t>Кількість аркушів: ____</w:t>
      </w:r>
    </w:p>
    <w:p>
      <w:pPr>
        <w:jc w:val="center"/>
      </w:pPr>
      <w:r>
        <w:rPr>
          <w:sz w:val="22"/>
        </w:rPr>
        <w:t>Редакція: 1.0</w:t>
      </w:r>
    </w:p>
    <w:p/>
    <w:p/>
    <w:p>
      <w:pPr>
        <w:ind w:firstLine="0"/>
        <w:jc w:val="center"/>
      </w:pPr>
      <w:r>
        <w:rPr>
          <w:b/>
          <w:sz w:val="22"/>
        </w:rPr>
        <w:t>ПРИВАТНЕ АКЦІОНЕРНЕ ТОВАРИСТВО «НАЦІОНАЛЬНА ЕНЕРГЕТИЧНА КОМПАНІЯ «УКРЕНЕРГО»</w:t>
      </w:r>
    </w:p>
    <w:p>
      <w:pPr>
        <w:ind w:firstLine="0"/>
        <w:jc w:val="center"/>
      </w:pPr>
      <w:r>
        <w:rPr>
          <w:i/>
          <w:sz w:val="20"/>
        </w:rPr>
        <w:t>Замовник: ПрАТ «НЕК «УКРЕНЕРГО» · код ЄДРПОУ 00100227 · 01032, м. Київ, вул. Симона Петлюри, 25</w:t>
      </w:r>
    </w:p>
    <w:p/>
    <w:p/>
    <w:p>
      <w:pPr>
        <w:ind w:firstLine="0"/>
        <w:jc w:val="center"/>
      </w:pPr>
      <w:r>
        <w:rPr>
          <w:sz w:val="24"/>
        </w:rPr>
        <w:t>Київ</w:t>
      </w:r>
    </w:p>
    <w:p>
      <w:pPr>
        <w:ind w:firstLine="0"/>
        <w:jc w:val="center"/>
      </w:pPr>
      <w:r>
        <w:rPr>
          <w:sz w:val="24"/>
        </w:rPr>
        <w:t>2026</w:t>
      </w:r>
    </w:p>
    <w:p>
      <w:r>
        <w:br w:type="page"/>
      </w:r>
    </w:p>
    <w:p>
      <w:pPr>
        <w:pStyle w:val="Heading1"/>
      </w:pPr>
      <w:r>
        <w:t>Комерційна пропозиція</w:t>
      </w:r>
    </w:p>
    <w:p/>
    <w:p>
      <w:pPr>
        <w:pStyle w:val="Heading2"/>
      </w:pPr>
      <w:r>
        <w:t>Система управління ризиками безпеки та прогнозування загроз для ПрАТ «НЕК «УКРЕНЕРГО»</w:t>
      </w:r>
    </w:p>
    <w:p/>
    <w:p>
      <w:r>
        <w:t>Кому: ПрАТ «НЕК «УКРЕНЕРГО», ЄДРПОУ 00100227, 01032, м. Київ, вул. Симона Петлюри, 25</w:t>
      </w:r>
    </w:p>
    <w:p>
      <w:r>
        <w:t>Адресати: Правління, Фінансовий директор (CFO), Дирекція із закупівель, Юридична служба</w:t>
      </w:r>
    </w:p>
    <w:p>
      <w:r>
        <w:t>Тип документа: Комерційна пропозиція (оферта)</w:t>
      </w:r>
    </w:p>
    <w:p>
      <w:r>
        <w:t>Демо-портал: https://ukrenergo.radai-1984.dev</w:t>
      </w:r>
    </w:p>
    <w:p/>
    <w:p/>
    <w:p>
      <w:pPr>
        <w:pStyle w:val="Heading2"/>
      </w:pPr>
      <w:r>
        <w:t>1. Головне: продукт, який ви хотіли, вже готовий</w:t>
      </w:r>
    </w:p>
    <w:p/>
    <w:p>
      <w:r>
        <w:t>Замовник сформулював потребу в системі управління ризиками безпеки та прогнозування загроз — інструменті, який у реальному часі моделює фізичні режими магістральної мережі, передбачає розвиток аварійних ситуацій і дає диспетчеру час та сценарій дій до того, як локальна подія переросте в каскад.</w:t>
      </w:r>
    </w:p>
    <w:p/>
    <w:p>
      <w:r>
        <w:t>Ми зробили саме цей продукт. Він уже існує як робоче демо (https://ukrenergo-portal.radai-1984.dev) — не презентація наміру, а діючий функціонал із наскрізним сценарієм роботи на модельних даних.</w:t>
      </w:r>
    </w:p>
    <w:p/>
    <w:p>
      <w:r>
        <w:t>Це Продукт №1 і головний предмет цієї оферти.</w:t>
      </w:r>
    </w:p>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sz w:val="20"/>
              </w:rPr>
              <w:t>Параметр</w:t>
            </w:r>
          </w:p>
        </w:tc>
        <w:tc>
          <w:tcPr>
            <w:tcW w:type="dxa" w:w="4320"/>
          </w:tcPr>
          <w:p>
            <w:r>
              <w:rPr>
                <w:b/>
                <w:sz w:val="20"/>
              </w:rPr>
              <w:t>Значення</w:t>
            </w:r>
          </w:p>
        </w:tc>
      </w:tr>
      <w:tr>
        <w:tc>
          <w:tcPr>
            <w:tcW w:type="dxa" w:w="4320"/>
          </w:tcPr>
          <w:p>
            <w:r>
              <w:rPr>
                <w:sz w:val="20"/>
              </w:rPr>
              <w:t>Продукт</w:t>
            </w:r>
          </w:p>
        </w:tc>
        <w:tc>
          <w:tcPr>
            <w:tcW w:type="dxa" w:w="4320"/>
          </w:tcPr>
          <w:p>
            <w:r>
              <w:rPr>
                <w:sz w:val="20"/>
              </w:rPr>
              <w:t>Система управління ризиками безпеки та прогнозування загроз (на Етапі-1 — легка модель впливу мережі; двійник AC-класу — горизонт класу 3–4, Етап-2 під NDA)</w:t>
            </w:r>
          </w:p>
        </w:tc>
      </w:tr>
      <w:tr>
        <w:tc>
          <w:tcPr>
            <w:tcW w:type="dxa" w:w="4320"/>
          </w:tcPr>
          <w:p>
            <w:r>
              <w:rPr>
                <w:sz w:val="20"/>
              </w:rPr>
              <w:t>Стан</w:t>
            </w:r>
          </w:p>
        </w:tc>
        <w:tc>
          <w:tcPr>
            <w:tcW w:type="dxa" w:w="4320"/>
          </w:tcPr>
          <w:p>
            <w:r>
              <w:rPr>
                <w:sz w:val="20"/>
              </w:rPr>
              <w:t>Готове робоче демо</w:t>
            </w:r>
          </w:p>
        </w:tc>
      </w:tr>
      <w:tr>
        <w:tc>
          <w:tcPr>
            <w:tcW w:type="dxa" w:w="4320"/>
          </w:tcPr>
          <w:p>
            <w:r>
              <w:rPr>
                <w:sz w:val="20"/>
              </w:rPr>
              <w:t>Повна версія</w:t>
            </w:r>
          </w:p>
        </w:tc>
        <w:tc>
          <w:tcPr>
            <w:tcW w:type="dxa" w:w="4320"/>
          </w:tcPr>
          <w:p>
            <w:r>
              <w:rPr>
                <w:sz w:val="20"/>
              </w:rPr>
              <w:t>$26,9 млн</w:t>
            </w:r>
          </w:p>
        </w:tc>
      </w:tr>
      <w:tr>
        <w:tc>
          <w:tcPr>
            <w:tcW w:type="dxa" w:w="4320"/>
          </w:tcPr>
          <w:p>
            <w:r>
              <w:rPr>
                <w:sz w:val="20"/>
              </w:rPr>
              <w:t>MVP</w:t>
            </w:r>
          </w:p>
        </w:tc>
        <w:tc>
          <w:tcPr>
            <w:tcW w:type="dxa" w:w="4320"/>
          </w:tcPr>
          <w:p>
            <w:r>
              <w:rPr>
                <w:sz w:val="20"/>
              </w:rPr>
              <w:t>$10,8 млн</w:t>
            </w:r>
          </w:p>
        </w:tc>
      </w:tr>
      <w:tr>
        <w:tc>
          <w:tcPr>
            <w:tcW w:type="dxa" w:w="4320"/>
          </w:tcPr>
          <w:p>
            <w:r>
              <w:rPr>
                <w:sz w:val="20"/>
              </w:rPr>
              <w:t>Модель постачання</w:t>
            </w:r>
          </w:p>
        </w:tc>
        <w:tc>
          <w:tcPr>
            <w:tcW w:type="dxa" w:w="4320"/>
          </w:tcPr>
          <w:p>
            <w:r>
              <w:rPr>
                <w:sz w:val="20"/>
              </w:rPr>
              <w:t>Разовий продаж, повна передача у власність, без технологічної залежності від розробника</w:t>
            </w:r>
          </w:p>
        </w:tc>
      </w:tr>
    </w:tbl>
    <w:p/>
    <w:p/>
    <w:p>
      <w:r>
        <w:t>Решта цього документа: спершу детально про Продукт №1 (розділи 2–8), потім — про два суміжні продукти, які ми можемо реалізувати так само, окремими проектами (розділ 9), і насамкінець — горизонт розвитку, що розкривається після того, як Продукт №1 запрацює у вас (розділ 10).</w:t>
      </w:r>
    </w:p>
    <w:p/>
    <w:p/>
    <w:p>
      <w:pPr>
        <w:pStyle w:val="Heading2"/>
      </w:pPr>
      <w:r>
        <w:t>2. Продукт №1 — суть і межі робіт</w:t>
      </w:r>
    </w:p>
    <w:p/>
    <w:p>
      <w:pPr>
        <w:pStyle w:val="Heading3"/>
      </w:pPr>
      <w:r>
        <w:t>2.1. Що це робить</w:t>
      </w:r>
    </w:p>
    <w:p/>
    <w:p>
      <w:r>
        <w:t>Система — це фізично обґрунтована модель магістральної мережі. На Етапі-1 (відкриті/синтетичні дані) це легка модель впливу мережі — клас 1 (±20–30%); повноцінний цифровий двійник AC-класу (±2–5%) досяжний лише на Етапі-2 під NDA на режимних даних (клас 3–4, див. розділ «Класи зрілості рішення»). У цільовому контурі система виконує:</w:t>
      </w:r>
    </w:p>
    <w:p/>
    <w:p>
      <w:pPr>
        <w:pStyle w:val="ListBullet"/>
      </w:pPr>
      <w:r>
        <w:t>моделювання фізичних режимів мережі на основі даних SCADA/EMS у реальному часі;</w:t>
      </w:r>
    </w:p>
    <w:p>
      <w:pPr>
        <w:pStyle w:val="ListBullet"/>
      </w:pPr>
      <w:r>
        <w:t>прогнозування загроз і розвитку аварійних ситуацій — розрахунок безпечних режимів і виявлення сценаріїв, за яких втрата елемента переростає в каскад;</w:t>
      </w:r>
    </w:p>
    <w:p>
      <w:pPr>
        <w:pStyle w:val="ListBullet"/>
      </w:pPr>
      <w:r>
        <w:t>запобігання каскадним відключенням після інциденту — локалізація недовідпуску, утримання перетоків у безпечних межах;</w:t>
      </w:r>
    </w:p>
    <w:p>
      <w:pPr>
        <w:pStyle w:val="ListBullet"/>
      </w:pPr>
      <w:r>
        <w:t>підтримку реконфігурації мережі під обмеженою топологією (коли частину елементів виведено);</w:t>
      </w:r>
    </w:p>
    <w:p>
      <w:pPr>
        <w:pStyle w:val="ListBullet"/>
      </w:pPr>
      <w:r>
        <w:t>агентний контур моніторингу 24/7.</w:t>
      </w:r>
    </w:p>
    <w:p/>
    <w:p>
      <w:pPr>
        <w:pStyle w:val="Heading3"/>
      </w:pPr>
      <w:r>
        <w:t>2.2. Що входить у ціну Продукту №1</w:t>
      </w:r>
    </w:p>
    <w:p/>
    <w:p>
      <w:pPr>
        <w:pStyle w:val="ListBullet"/>
      </w:pPr>
      <w:r>
        <w:t>Розробка та налаштування ПЗ згідно з окремим ТЗ (ГОСТ 34.602);</w:t>
      </w:r>
    </w:p>
    <w:p>
      <w:pPr>
        <w:pStyle w:val="ListBullet"/>
      </w:pPr>
      <w:r>
        <w:t>Інтеграція з джерелами даних Замовника (SCADA/EMS — за переліком у ТЗ);</w:t>
      </w:r>
    </w:p>
    <w:p>
      <w:pPr>
        <w:pStyle w:val="ListBullet"/>
      </w:pPr>
      <w:r>
        <w:t>Дослідна і промислова експлуатація, приймальні випробування на майданчику Замовника;</w:t>
      </w:r>
    </w:p>
    <w:p>
      <w:pPr>
        <w:pStyle w:val="ListBullet"/>
      </w:pPr>
      <w:r>
        <w:t>Документація, навчання персоналу;</w:t>
      </w:r>
    </w:p>
    <w:p>
      <w:pPr>
        <w:pStyle w:val="ListBullet"/>
      </w:pPr>
      <w:r>
        <w:t>Повна передача коду та прав (розділ 8).</w:t>
      </w:r>
    </w:p>
    <w:p/>
    <w:p>
      <w:pPr>
        <w:pStyle w:val="Heading3"/>
      </w:pPr>
      <w:r>
        <w:t>2.3. Що НЕ входить (поза межами)</w:t>
      </w:r>
    </w:p>
    <w:p/>
    <w:p>
      <w:r>
        <w:t>Наступне не входить у ціну і за потреби оформлюється окремо:</w:t>
      </w:r>
    </w:p>
    <w:p/>
    <w:p>
      <w:pPr>
        <w:pStyle w:val="ListBullet"/>
      </w:pPr>
      <w:r>
        <w:t>Закупівля серверного / мережевого обладнання та системного ПЗ (ОС, СУБД, ліцензії третіх сторін);</w:t>
      </w:r>
    </w:p>
    <w:p>
      <w:pPr>
        <w:pStyle w:val="ListBullet"/>
      </w:pPr>
      <w:r>
        <w:t>Канали зв'язку, ЦОД, розміщення інфраструктури;</w:t>
      </w:r>
    </w:p>
    <w:p>
      <w:pPr>
        <w:pStyle w:val="ListBullet"/>
      </w:pPr>
      <w:r>
        <w:t>Доопрацювання суміжних систем Замовника, що не є джерелами даних за ТЗ;</w:t>
      </w:r>
    </w:p>
    <w:p>
      <w:pPr>
        <w:pStyle w:val="ListBullet"/>
      </w:pPr>
      <w:r>
        <w:t>Експлуатаційна підтримка понад гарантійний період (окремий SLA-договір, розділ 9.4);</w:t>
      </w:r>
    </w:p>
    <w:p>
      <w:pPr>
        <w:pStyle w:val="ListBullet"/>
      </w:pPr>
      <w:r>
        <w:t>Будь-які роботи, не зафіксовані прямо в ТЗ.</w:t>
      </w:r>
    </w:p>
    <w:p/>
    <w:p>
      <w:pPr>
        <w:ind w:left="454"/>
      </w:pPr>
      <w:r>
        <w:rPr>
          <w:i/>
        </w:rPr>
        <w:t>Кожен продукт — окремий проект. Продукт №1 має власне ТЗ, власний бюджет і власне додаткове узгодження. Суміжні продукти (розділ 9) — це окремі проекти з окремими ТЗ і бюджетами, що замовляються за окремим рішенням.</w:t>
      </w:r>
    </w:p>
    <w:p/>
    <w:p/>
    <w:p>
      <w:pPr>
        <w:pStyle w:val="Heading2"/>
      </w:pPr>
      <w:r>
        <w:t>3. Ціна Продукту №1</w:t>
      </w:r>
    </w:p>
    <w:p/>
    <w:p>
      <w:r>
        <w:t>Усі ціни без ПДВ (режим ПДВ — розділ 7). Базова валюта — долар США (USD); довідковий курс — 42 грн/$.</w:t>
      </w:r>
    </w:p>
    <w:p/>
    <w:tbl>
      <w:tblPr>
        <w:tblStyle w:val="LightGrid-Accent1"/>
        <w:tblW w:type="auto" w:w="0"/>
        <w:jc w:val="center"/>
        <w:tblLook w:firstColumn="1" w:firstRow="1" w:lastColumn="0" w:lastRow="0" w:noHBand="0" w:noVBand="1" w:val="04A0"/>
      </w:tblPr>
      <w:tblGrid>
        <w:gridCol w:w="2880"/>
        <w:gridCol w:w="2880"/>
        <w:gridCol w:w="2880"/>
      </w:tblGrid>
      <w:tr>
        <w:tc>
          <w:tcPr>
            <w:tcW w:type="dxa" w:w="2880"/>
          </w:tcPr>
          <w:p>
            <w:r>
              <w:rPr>
                <w:b/>
                <w:sz w:val="20"/>
              </w:rPr>
              <w:t>Версія</w:t>
            </w:r>
          </w:p>
        </w:tc>
        <w:tc>
          <w:tcPr>
            <w:tcW w:type="dxa" w:w="2880"/>
          </w:tcPr>
          <w:p>
            <w:r>
              <w:rPr>
                <w:b/>
                <w:sz w:val="20"/>
              </w:rPr>
              <w:t>$</w:t>
            </w:r>
          </w:p>
        </w:tc>
        <w:tc>
          <w:tcPr>
            <w:tcW w:type="dxa" w:w="2880"/>
          </w:tcPr>
          <w:p>
            <w:r>
              <w:rPr>
                <w:b/>
                <w:sz w:val="20"/>
              </w:rPr>
              <w:t>грн (×42)</w:t>
            </w:r>
          </w:p>
        </w:tc>
      </w:tr>
      <w:tr>
        <w:tc>
          <w:tcPr>
            <w:tcW w:type="dxa" w:w="2880"/>
          </w:tcPr>
          <w:p>
            <w:r>
              <w:rPr>
                <w:sz w:val="20"/>
              </w:rPr>
              <w:t>Повна версія</w:t>
            </w:r>
          </w:p>
        </w:tc>
        <w:tc>
          <w:tcPr>
            <w:tcW w:type="dxa" w:w="2880"/>
          </w:tcPr>
          <w:p>
            <w:r>
              <w:rPr>
                <w:sz w:val="20"/>
              </w:rPr>
              <w:t>26 900 000</w:t>
            </w:r>
          </w:p>
        </w:tc>
        <w:tc>
          <w:tcPr>
            <w:tcW w:type="dxa" w:w="2880"/>
          </w:tcPr>
          <w:p>
            <w:r>
              <w:rPr>
                <w:sz w:val="20"/>
              </w:rPr>
              <w:t>1 129 800 000</w:t>
            </w:r>
          </w:p>
        </w:tc>
      </w:tr>
      <w:tr>
        <w:tc>
          <w:tcPr>
            <w:tcW w:type="dxa" w:w="2880"/>
          </w:tcPr>
          <w:p>
            <w:r>
              <w:rPr>
                <w:sz w:val="20"/>
              </w:rPr>
              <w:t>MVP</w:t>
            </w:r>
          </w:p>
        </w:tc>
        <w:tc>
          <w:tcPr>
            <w:tcW w:type="dxa" w:w="2880"/>
          </w:tcPr>
          <w:p>
            <w:r>
              <w:rPr>
                <w:sz w:val="20"/>
              </w:rPr>
              <w:t>10 800 000</w:t>
            </w:r>
          </w:p>
        </w:tc>
        <w:tc>
          <w:tcPr>
            <w:tcW w:type="dxa" w:w="2880"/>
          </w:tcPr>
          <w:p>
            <w:r>
              <w:rPr>
                <w:sz w:val="20"/>
              </w:rPr>
              <w:t>453 600 000</w:t>
            </w:r>
          </w:p>
        </w:tc>
      </w:tr>
    </w:tbl>
    <w:p/>
    <w:p/>
    <w:p>
      <w:r>
        <w:t>MVP може бути в подальшому розширений до Повної версії з зарахуванням сплаченої вартості MVP.</w:t>
      </w:r>
    </w:p>
    <w:p/>
    <w:p>
      <w:pPr>
        <w:pStyle w:val="Heading3"/>
      </w:pPr>
      <w:r>
        <w:t>3.1. Орієнтири ціни (ринкові якорі)</w:t>
      </w:r>
    </w:p>
    <w:p/>
    <w:p>
      <w:r>
        <w:t>Ціну сформовано за принципом «не вище за нижню планку зіставного ринку». Базою ціноутворення є зіставні за класом і скоупом контракти на системи рівня оператора системи передачі (ОСП):</w:t>
      </w:r>
    </w:p>
    <w:p/>
    <w:tbl>
      <w:tblPr>
        <w:tblStyle w:val="LightGrid-Accent1"/>
        <w:tblW w:type="auto" w:w="0"/>
        <w:jc w:val="center"/>
        <w:tblLook w:firstColumn="1" w:firstRow="1" w:lastColumn="0" w:lastRow="0" w:noHBand="0" w:noVBand="1" w:val="04A0"/>
      </w:tblPr>
      <w:tblGrid>
        <w:gridCol w:w="2880"/>
        <w:gridCol w:w="2880"/>
        <w:gridCol w:w="2880"/>
      </w:tblGrid>
      <w:tr>
        <w:tc>
          <w:tcPr>
            <w:tcW w:type="dxa" w:w="2880"/>
          </w:tcPr>
          <w:p>
            <w:r>
              <w:rPr>
                <w:b/>
                <w:sz w:val="20"/>
              </w:rPr>
              <w:t>Рішення / постачальник</w:t>
            </w:r>
          </w:p>
        </w:tc>
        <w:tc>
          <w:tcPr>
            <w:tcW w:type="dxa" w:w="2880"/>
          </w:tcPr>
          <w:p>
            <w:r>
              <w:rPr>
                <w:b/>
                <w:sz w:val="20"/>
              </w:rPr>
              <w:t>Сума</w:t>
            </w:r>
          </w:p>
        </w:tc>
        <w:tc>
          <w:tcPr>
            <w:tcW w:type="dxa" w:w="2880"/>
          </w:tcPr>
          <w:p>
            <w:r>
              <w:rPr>
                <w:b/>
                <w:sz w:val="20"/>
              </w:rPr>
              <w:t>Зіставність</w:t>
            </w:r>
          </w:p>
        </w:tc>
      </w:tr>
      <w:tr>
        <w:tc>
          <w:tcPr>
            <w:tcW w:type="dxa" w:w="2880"/>
          </w:tcPr>
          <w:p>
            <w:r>
              <w:rPr>
                <w:sz w:val="20"/>
              </w:rPr>
              <w:t>Siemens SCADA/EMS для PSE (Польща)</w:t>
            </w:r>
          </w:p>
        </w:tc>
        <w:tc>
          <w:tcPr>
            <w:tcW w:type="dxa" w:w="2880"/>
          </w:tcPr>
          <w:p>
            <w:r>
              <w:rPr>
                <w:sz w:val="20"/>
              </w:rPr>
              <w:t>$20 млн</w:t>
            </w:r>
          </w:p>
        </w:tc>
        <w:tc>
          <w:tcPr>
            <w:tcW w:type="dxa" w:w="2880"/>
          </w:tcPr>
          <w:p>
            <w:r>
              <w:rPr>
                <w:sz w:val="20"/>
              </w:rPr>
              <w:t>ОСП-рівень, EMS/SCADA — прямий аналог</w:t>
            </w:r>
          </w:p>
        </w:tc>
      </w:tr>
      <w:tr>
        <w:tc>
          <w:tcPr>
            <w:tcW w:type="dxa" w:w="2880"/>
          </w:tcPr>
          <w:p>
            <w:r>
              <w:rPr>
                <w:sz w:val="20"/>
              </w:rPr>
              <w:t>EBRD EMS+SCADA (Боснія)</w:t>
            </w:r>
          </w:p>
        </w:tc>
        <w:tc>
          <w:tcPr>
            <w:tcW w:type="dxa" w:w="2880"/>
          </w:tcPr>
          <w:p>
            <w:r>
              <w:rPr>
                <w:sz w:val="20"/>
              </w:rPr>
              <w:t>EUR 8.5 млн</w:t>
            </w:r>
          </w:p>
        </w:tc>
        <w:tc>
          <w:tcPr>
            <w:tcW w:type="dxa" w:w="2880"/>
          </w:tcPr>
          <w:p>
            <w:r>
              <w:rPr>
                <w:sz w:val="20"/>
              </w:rPr>
              <w:t>ОСП-рівень, фінансування МФО, зіставний регіон</w:t>
            </w:r>
          </w:p>
        </w:tc>
      </w:tr>
    </w:tbl>
    <w:p/>
    <w:p/>
    <w:p>
      <w:r>
        <w:t>Структура множника собівартості (компоненти по нижній планці ринку):</w:t>
      </w:r>
    </w:p>
    <w:p>
      <w:r>
        <w:t>×2.75 (накладні) × 1.18 (допуск/безпека) × 1.15 (воєнна надбавка) = × 3.732.</w:t>
      </w:r>
    </w:p>
    <w:p/>
    <w:p>
      <w:pPr>
        <w:ind w:left="454"/>
      </w:pPr>
      <w:r>
        <w:rPr>
          <w:i/>
        </w:rPr>
        <w:t>Розклад накладних ×2.75 (175% на пряму працю) для критичної інфраструктури у воєнний час: ізольовані безпечні середовища розробки (КСЗІ), відповідність ГОСТ 34.602 і процедури приймання, резервування персоналу під ризики мобілізації/релокації, управління проєктом, архітектурний нагляд, QA, гарантійні зобов'язання та страхування. Детальний розклад — в Annex C, підлягає перевірці по кошторису.</w:t>
      </w:r>
    </w:p>
    <w:p/>
    <w:p>
      <w:pPr>
        <w:ind w:left="454"/>
      </w:pPr>
      <w:r>
        <w:rPr>
          <w:i/>
        </w:rPr>
        <w:t>Воєнна надбавка. Офіційна danger pay Держдепартаменту США для Києва — 35%. У цій оферті закладено лише +15%, менш ніж половину офіційної ставки.</w:t>
      </w:r>
    </w:p>
    <w:p/>
    <w:p/>
    <w:p>
      <w:pPr>
        <w:pStyle w:val="Heading2"/>
      </w:pPr>
      <w:r>
        <w:t>4. Економічне обґрунтування Продукту №1 (ROI)</w:t>
      </w:r>
    </w:p>
    <w:p/>
    <w:p>
      <w:r>
        <w:t>ROI наведено за консервативним базовим сценарієм.</w:t>
      </w:r>
    </w:p>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tcPr>
          <w:p>
            <w:r>
              <w:rPr>
                <w:b/>
                <w:sz w:val="20"/>
              </w:rPr>
              <w:t>База ефекту</w:t>
            </w:r>
          </w:p>
        </w:tc>
        <w:tc>
          <w:tcPr>
            <w:tcW w:type="dxa" w:w="2160"/>
          </w:tcPr>
          <w:p>
            <w:r>
              <w:rPr>
                <w:b/>
                <w:sz w:val="20"/>
              </w:rPr>
              <w:t>Припущення</w:t>
            </w:r>
          </w:p>
        </w:tc>
        <w:tc>
          <w:tcPr>
            <w:tcW w:type="dxa" w:w="2160"/>
          </w:tcPr>
          <w:p>
            <w:r>
              <w:rPr>
                <w:b/>
                <w:sz w:val="20"/>
              </w:rPr>
              <w:t>Ефект/рік</w:t>
            </w:r>
          </w:p>
        </w:tc>
        <w:tc>
          <w:tcPr>
            <w:tcW w:type="dxa" w:w="2160"/>
          </w:tcPr>
          <w:p>
            <w:r>
              <w:rPr>
                <w:b/>
                <w:sz w:val="20"/>
              </w:rPr>
              <w:t>Окупність (повна версія)</w:t>
            </w:r>
          </w:p>
        </w:tc>
      </w:tr>
      <w:tr>
        <w:tc>
          <w:tcPr>
            <w:tcW w:type="dxa" w:w="2160"/>
          </w:tcPr>
          <w:p>
            <w:r>
              <w:rPr>
                <w:sz w:val="20"/>
              </w:rPr>
              <w:t>Втрата елементів мережі від інцидентів типу 22.03.2024</w:t>
            </w:r>
          </w:p>
        </w:tc>
        <w:tc>
          <w:tcPr>
            <w:tcW w:type="dxa" w:w="2160"/>
          </w:tcPr>
          <w:p>
            <w:r>
              <w:rPr>
                <w:sz w:val="20"/>
              </w:rPr>
              <w:t>Відведення 15% збитку через швидше відновлення режиму та запобігання каскаду</w:t>
            </w:r>
          </w:p>
        </w:tc>
        <w:tc>
          <w:tcPr>
            <w:tcW w:type="dxa" w:w="2160"/>
          </w:tcPr>
          <w:p>
            <w:r>
              <w:rPr>
                <w:sz w:val="20"/>
              </w:rPr>
              <w:t>~600 млн грн</w:t>
            </w:r>
          </w:p>
        </w:tc>
        <w:tc>
          <w:tcPr>
            <w:tcW w:type="dxa" w:w="2160"/>
          </w:tcPr>
          <w:p>
            <w:r>
              <w:rPr>
                <w:sz w:val="20"/>
              </w:rPr>
              <w:t>~1.9 року</w:t>
            </w:r>
          </w:p>
        </w:tc>
      </w:tr>
    </w:tbl>
    <w:p/>
    <w:p/>
    <w:p>
      <w:pPr>
        <w:pStyle w:val="Heading3"/>
      </w:pPr>
      <w:r>
        <w:t>4.1. Чесне розведення механізму ефекту (фізичне руйнування vs операційна стійкість)</w:t>
      </w:r>
    </w:p>
    <w:p/>
    <w:p>
      <w:r>
        <w:t>Чого система НЕ робить. Цифровий двійник не запобігає фізичному влучанню ракети чи дрона. Прямі капітальні збитки від обстрілів (заміна трансформатора, ремонт ПС) на ефект не закладені.</w:t>
      </w:r>
    </w:p>
    <w:p/>
    <w:p>
      <w:r>
        <w:t>Що система реально робить (звідки 15%). Ефект формується на стороні операційної стійкості після події:</w:t>
      </w:r>
    </w:p>
    <w:p>
      <w:pPr>
        <w:pStyle w:val="ListBullet"/>
      </w:pPr>
      <w:r>
        <w:t>запобігання каскадним відключенням — двійник прораховує безпечні режими і локалізує недовідпуск;</w:t>
      </w:r>
    </w:p>
    <w:p>
      <w:pPr>
        <w:pStyle w:val="ListBullet"/>
      </w:pPr>
      <w:r>
        <w:t>скорочення часу реконфігурації та відновлення режиму;</w:t>
      </w:r>
    </w:p>
    <w:p>
      <w:pPr>
        <w:pStyle w:val="ListBullet"/>
      </w:pPr>
      <w:r>
        <w:t>режимна оптимізація під обмеженою топологією.</w:t>
      </w:r>
    </w:p>
    <w:p/>
    <w:p>
      <w:r>
        <w:t>Чесне обмеження щодо 15%. Це інженерне припущення про частку збитку, що відводиться операційними засобами, а не виміряна на даних Замовника величина. Воно підлягає валідації на історичних режимних даних ОСП на milestone M1–M2. Тому:</w:t>
      </w:r>
    </w:p>
    <w:p>
      <w:pPr>
        <w:pStyle w:val="ListBullet"/>
      </w:pPr>
      <w:r>
        <w:t>грошовий ефект (~600 млн грн/рік) позиціонується як очікуваний, але не гарантований;</w:t>
      </w:r>
    </w:p>
    <w:p>
      <w:pPr>
        <w:pStyle w:val="ListBullet"/>
      </w:pPr>
      <w:r>
        <w:t>консервативно коректно розглядати песимістичний сценарій (×0.5 → ~300 млн грн/рік) до підтвердження;</w:t>
      </w:r>
    </w:p>
    <w:p>
      <w:pPr>
        <w:pStyle w:val="ListBullet"/>
      </w:pPr>
      <w:r>
        <w:t>якщо валідація не підтвердить механізм — ефект переноситься в резерв.</w:t>
      </w:r>
    </w:p>
    <w:p/>
    <w:p>
      <w:pPr>
        <w:pStyle w:val="Heading3"/>
      </w:pPr>
      <w:r>
        <w:t>4.2. Окупність по трьох сценаріях</w:t>
      </w:r>
    </w:p>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tcPr>
          <w:p>
            <w:r>
              <w:rPr>
                <w:b/>
                <w:sz w:val="20"/>
              </w:rPr>
              <w:t>Сценарій</w:t>
            </w:r>
          </w:p>
        </w:tc>
        <w:tc>
          <w:tcPr>
            <w:tcW w:type="dxa" w:w="2160"/>
          </w:tcPr>
          <w:p>
            <w:r>
              <w:rPr>
                <w:b/>
                <w:sz w:val="20"/>
              </w:rPr>
              <w:t>Множник</w:t>
            </w:r>
          </w:p>
        </w:tc>
        <w:tc>
          <w:tcPr>
            <w:tcW w:type="dxa" w:w="2160"/>
          </w:tcPr>
          <w:p>
            <w:r>
              <w:rPr>
                <w:b/>
                <w:sz w:val="20"/>
              </w:rPr>
              <w:t>Ефект/рік</w:t>
            </w:r>
          </w:p>
        </w:tc>
        <w:tc>
          <w:tcPr>
            <w:tcW w:type="dxa" w:w="2160"/>
          </w:tcPr>
          <w:p>
            <w:r>
              <w:rPr>
                <w:b/>
                <w:sz w:val="20"/>
              </w:rPr>
              <w:t>Проста окупність (повна версія, $26,9 млн ≈ 1 129.8 млн грн)</w:t>
            </w:r>
          </w:p>
        </w:tc>
      </w:tr>
      <w:tr>
        <w:tc>
          <w:tcPr>
            <w:tcW w:type="dxa" w:w="2160"/>
          </w:tcPr>
          <w:p>
            <w:r>
              <w:rPr>
                <w:sz w:val="20"/>
              </w:rPr>
              <w:t>Песимістичний</w:t>
            </w:r>
          </w:p>
        </w:tc>
        <w:tc>
          <w:tcPr>
            <w:tcW w:type="dxa" w:w="2160"/>
          </w:tcPr>
          <w:p>
            <w:r>
              <w:rPr>
                <w:sz w:val="20"/>
              </w:rPr>
              <w:t>×0.5</w:t>
            </w:r>
          </w:p>
        </w:tc>
        <w:tc>
          <w:tcPr>
            <w:tcW w:type="dxa" w:w="2160"/>
          </w:tcPr>
          <w:p>
            <w:r>
              <w:rPr>
                <w:sz w:val="20"/>
              </w:rPr>
              <w:t>~300 млн грн</w:t>
            </w:r>
          </w:p>
        </w:tc>
        <w:tc>
          <w:tcPr>
            <w:tcW w:type="dxa" w:w="2160"/>
          </w:tcPr>
          <w:p>
            <w:r>
              <w:rPr>
                <w:sz w:val="20"/>
              </w:rPr>
              <w:t>~3.8 року</w:t>
            </w:r>
          </w:p>
        </w:tc>
      </w:tr>
      <w:tr>
        <w:tc>
          <w:tcPr>
            <w:tcW w:type="dxa" w:w="2160"/>
          </w:tcPr>
          <w:p>
            <w:r>
              <w:rPr>
                <w:sz w:val="20"/>
              </w:rPr>
              <w:t>Базовий</w:t>
            </w:r>
          </w:p>
        </w:tc>
        <w:tc>
          <w:tcPr>
            <w:tcW w:type="dxa" w:w="2160"/>
          </w:tcPr>
          <w:p>
            <w:r>
              <w:rPr>
                <w:sz w:val="20"/>
              </w:rPr>
              <w:t>×1.0</w:t>
            </w:r>
          </w:p>
        </w:tc>
        <w:tc>
          <w:tcPr>
            <w:tcW w:type="dxa" w:w="2160"/>
          </w:tcPr>
          <w:p>
            <w:r>
              <w:rPr>
                <w:sz w:val="20"/>
              </w:rPr>
              <w:t>~600 млн грн</w:t>
            </w:r>
          </w:p>
        </w:tc>
        <w:tc>
          <w:tcPr>
            <w:tcW w:type="dxa" w:w="2160"/>
          </w:tcPr>
          <w:p>
            <w:r>
              <w:rPr>
                <w:sz w:val="20"/>
              </w:rPr>
              <w:t>~1.9 року</w:t>
            </w:r>
          </w:p>
        </w:tc>
      </w:tr>
      <w:tr>
        <w:tc>
          <w:tcPr>
            <w:tcW w:type="dxa" w:w="2160"/>
          </w:tcPr>
          <w:p>
            <w:r>
              <w:rPr>
                <w:sz w:val="20"/>
              </w:rPr>
              <w:t>Оптимістичний</w:t>
            </w:r>
          </w:p>
        </w:tc>
        <w:tc>
          <w:tcPr>
            <w:tcW w:type="dxa" w:w="2160"/>
          </w:tcPr>
          <w:p>
            <w:r>
              <w:rPr>
                <w:sz w:val="20"/>
              </w:rPr>
              <w:t>×2.0</w:t>
            </w:r>
          </w:p>
        </w:tc>
        <w:tc>
          <w:tcPr>
            <w:tcW w:type="dxa" w:w="2160"/>
          </w:tcPr>
          <w:p>
            <w:r>
              <w:rPr>
                <w:sz w:val="20"/>
              </w:rPr>
              <w:t>~1 200 млн грн</w:t>
            </w:r>
          </w:p>
        </w:tc>
        <w:tc>
          <w:tcPr>
            <w:tcW w:type="dxa" w:w="2160"/>
          </w:tcPr>
          <w:p>
            <w:r>
              <w:rPr>
                <w:sz w:val="20"/>
              </w:rPr>
              <w:t>~0.9 року</w:t>
            </w:r>
          </w:p>
        </w:tc>
      </w:tr>
    </w:tbl>
    <w:p/>
    <w:p/>
    <w:p>
      <w:pPr>
        <w:ind w:left="454"/>
      </w:pPr>
      <w:r>
        <w:rPr>
          <w:i/>
        </w:rPr>
        <w:t>Чесний акцент для CFO. Навіть у песимістичному сценарії проста окупність (~3.8 року) суттєво коротша за горизонт промислової експлуатації критичної інфраструктури. Вартість недовідпущеної електроенергії (VoLL) свідомо не включено — це додатковий резерв ефекту понад 15%.</w:t>
      </w:r>
    </w:p>
    <w:p/>
    <w:p>
      <w:r>
        <w:t>Наскрізний драйвер цінності. Виконання IT-вимог ENTSO-E вже дало +500 МВт торгової ємності (зростання з 1200 до 1700 МВт, ENTSO-E, 28.11.2023).</w:t>
      </w:r>
    </w:p>
    <w:p/>
    <w:p/>
    <w:p>
      <w:pPr>
        <w:pStyle w:val="Heading2"/>
      </w:pPr>
      <w:r>
        <w:t>5. Графік платежів Продукту №1 (прив'язка до milestone)</w:t>
      </w:r>
    </w:p>
    <w:p/>
    <w:p>
      <w:r>
        <w:t>Оплата траншами за фактом приймання milestone (підписання акта). Вага платежів зміщена вправо — до етапів, де Замовник бачить результат на власних даних.</w:t>
      </w:r>
    </w:p>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tcPr>
          <w:p>
            <w:r>
              <w:rPr>
                <w:b/>
                <w:sz w:val="20"/>
              </w:rPr>
              <w:t>#</w:t>
            </w:r>
          </w:p>
        </w:tc>
        <w:tc>
          <w:tcPr>
            <w:tcW w:type="dxa" w:w="2160"/>
          </w:tcPr>
          <w:p>
            <w:r>
              <w:rPr>
                <w:b/>
                <w:sz w:val="20"/>
              </w:rPr>
              <w:t>Milestone</w:t>
            </w:r>
          </w:p>
        </w:tc>
        <w:tc>
          <w:tcPr>
            <w:tcW w:type="dxa" w:w="2160"/>
          </w:tcPr>
          <w:p>
            <w:r>
              <w:rPr>
                <w:b/>
                <w:sz w:val="20"/>
              </w:rPr>
              <w:t>Частка</w:t>
            </w:r>
          </w:p>
        </w:tc>
        <w:tc>
          <w:tcPr>
            <w:tcW w:type="dxa" w:w="2160"/>
          </w:tcPr>
          <w:p>
            <w:r>
              <w:rPr>
                <w:b/>
                <w:sz w:val="20"/>
              </w:rPr>
              <w:t>Що приймається</w:t>
            </w:r>
          </w:p>
        </w:tc>
      </w:tr>
      <w:tr>
        <w:tc>
          <w:tcPr>
            <w:tcW w:type="dxa" w:w="2160"/>
          </w:tcPr>
          <w:p>
            <w:r>
              <w:rPr>
                <w:sz w:val="20"/>
              </w:rPr>
              <w:t>M0</w:t>
            </w:r>
          </w:p>
        </w:tc>
        <w:tc>
          <w:tcPr>
            <w:tcW w:type="dxa" w:w="2160"/>
          </w:tcPr>
          <w:p>
            <w:r>
              <w:rPr>
                <w:sz w:val="20"/>
              </w:rPr>
              <w:t>Підписання договору, аванс</w:t>
            </w:r>
          </w:p>
        </w:tc>
        <w:tc>
          <w:tcPr>
            <w:tcW w:type="dxa" w:w="2160"/>
          </w:tcPr>
          <w:p>
            <w:r>
              <w:rPr>
                <w:sz w:val="20"/>
              </w:rPr>
              <w:t>10%</w:t>
            </w:r>
          </w:p>
        </w:tc>
        <w:tc>
          <w:tcPr>
            <w:tcW w:type="dxa" w:w="2160"/>
          </w:tcPr>
          <w:p>
            <w:r>
              <w:rPr>
                <w:sz w:val="20"/>
              </w:rPr>
              <w:t>Старт робіт (покривається банківською гарантією авансу, п. 5.1)</w:t>
            </w:r>
          </w:p>
        </w:tc>
      </w:tr>
      <w:tr>
        <w:tc>
          <w:tcPr>
            <w:tcW w:type="dxa" w:w="2160"/>
          </w:tcPr>
          <w:p>
            <w:r>
              <w:rPr>
                <w:sz w:val="20"/>
              </w:rPr>
              <w:t>M1</w:t>
            </w:r>
          </w:p>
        </w:tc>
        <w:tc>
          <w:tcPr>
            <w:tcW w:type="dxa" w:w="2160"/>
          </w:tcPr>
          <w:p>
            <w:r>
              <w:rPr>
                <w:sz w:val="20"/>
              </w:rPr>
              <w:t>Затвердження архітектури та ТЗ</w:t>
            </w:r>
          </w:p>
        </w:tc>
        <w:tc>
          <w:tcPr>
            <w:tcW w:type="dxa" w:w="2160"/>
          </w:tcPr>
          <w:p>
            <w:r>
              <w:rPr>
                <w:sz w:val="20"/>
              </w:rPr>
              <w:t>10%</w:t>
            </w:r>
          </w:p>
        </w:tc>
        <w:tc>
          <w:tcPr>
            <w:tcW w:type="dxa" w:w="2160"/>
          </w:tcPr>
          <w:p>
            <w:r>
              <w:rPr>
                <w:sz w:val="20"/>
              </w:rPr>
              <w:t>Узгоджене ТЗ (ГОСТ 34.602), валідація припущень ефекту на даних Замовника</w:t>
            </w:r>
          </w:p>
        </w:tc>
      </w:tr>
      <w:tr>
        <w:tc>
          <w:tcPr>
            <w:tcW w:type="dxa" w:w="2160"/>
          </w:tcPr>
          <w:p>
            <w:r>
              <w:rPr>
                <w:sz w:val="20"/>
              </w:rPr>
              <w:t>M2</w:t>
            </w:r>
          </w:p>
        </w:tc>
        <w:tc>
          <w:tcPr>
            <w:tcW w:type="dxa" w:w="2160"/>
          </w:tcPr>
          <w:p>
            <w:r>
              <w:rPr>
                <w:sz w:val="20"/>
              </w:rPr>
              <w:t>Інтеграція джерел даних SCADA/EMS</w:t>
            </w:r>
          </w:p>
        </w:tc>
        <w:tc>
          <w:tcPr>
            <w:tcW w:type="dxa" w:w="2160"/>
          </w:tcPr>
          <w:p>
            <w:r>
              <w:rPr>
                <w:sz w:val="20"/>
              </w:rPr>
              <w:t>20%</w:t>
            </w:r>
          </w:p>
        </w:tc>
        <w:tc>
          <w:tcPr>
            <w:tcW w:type="dxa" w:w="2160"/>
          </w:tcPr>
          <w:p>
            <w:r>
              <w:rPr>
                <w:sz w:val="20"/>
              </w:rPr>
              <w:t>Працююча модель на реальних даних Замовника (перша перевірювана цінність)</w:t>
            </w:r>
          </w:p>
        </w:tc>
      </w:tr>
      <w:tr>
        <w:tc>
          <w:tcPr>
            <w:tcW w:type="dxa" w:w="2160"/>
          </w:tcPr>
          <w:p>
            <w:r>
              <w:rPr>
                <w:sz w:val="20"/>
              </w:rPr>
              <w:t>M3</w:t>
            </w:r>
          </w:p>
        </w:tc>
        <w:tc>
          <w:tcPr>
            <w:tcW w:type="dxa" w:w="2160"/>
          </w:tcPr>
          <w:p>
            <w:r>
              <w:rPr>
                <w:sz w:val="20"/>
              </w:rPr>
              <w:t>Поставка ядра системи</w:t>
            </w:r>
          </w:p>
        </w:tc>
        <w:tc>
          <w:tcPr>
            <w:tcW w:type="dxa" w:w="2160"/>
          </w:tcPr>
          <w:p>
            <w:r>
              <w:rPr>
                <w:sz w:val="20"/>
              </w:rPr>
              <w:t>30%</w:t>
            </w:r>
          </w:p>
        </w:tc>
        <w:tc>
          <w:tcPr>
            <w:tcW w:type="dxa" w:w="2160"/>
          </w:tcPr>
          <w:p>
            <w:r>
              <w:rPr>
                <w:sz w:val="20"/>
              </w:rPr>
              <w:t>Функціонал згідно з ТЗ, заводські випробування</w:t>
            </w:r>
          </w:p>
        </w:tc>
      </w:tr>
      <w:tr>
        <w:tc>
          <w:tcPr>
            <w:tcW w:type="dxa" w:w="2160"/>
          </w:tcPr>
          <w:p>
            <w:r>
              <w:rPr>
                <w:sz w:val="20"/>
              </w:rPr>
              <w:t>M4</w:t>
            </w:r>
          </w:p>
        </w:tc>
        <w:tc>
          <w:tcPr>
            <w:tcW w:type="dxa" w:w="2160"/>
          </w:tcPr>
          <w:p>
            <w:r>
              <w:rPr>
                <w:sz w:val="20"/>
              </w:rPr>
              <w:t>Дослідна експлуатація</w:t>
            </w:r>
          </w:p>
        </w:tc>
        <w:tc>
          <w:tcPr>
            <w:tcW w:type="dxa" w:w="2160"/>
          </w:tcPr>
          <w:p>
            <w:r>
              <w:rPr>
                <w:sz w:val="20"/>
              </w:rPr>
              <w:t>20%</w:t>
            </w:r>
          </w:p>
        </w:tc>
        <w:tc>
          <w:tcPr>
            <w:tcW w:type="dxa" w:w="2160"/>
          </w:tcPr>
          <w:p>
            <w:r>
              <w:rPr>
                <w:sz w:val="20"/>
              </w:rPr>
              <w:t>Приймальні випробування на майданчику Замовника</w:t>
            </w:r>
          </w:p>
        </w:tc>
      </w:tr>
      <w:tr>
        <w:tc>
          <w:tcPr>
            <w:tcW w:type="dxa" w:w="2160"/>
          </w:tcPr>
          <w:p>
            <w:r>
              <w:rPr>
                <w:sz w:val="20"/>
              </w:rPr>
              <w:t>M5</w:t>
            </w:r>
          </w:p>
        </w:tc>
        <w:tc>
          <w:tcPr>
            <w:tcW w:type="dxa" w:w="2160"/>
          </w:tcPr>
          <w:p>
            <w:r>
              <w:rPr>
                <w:sz w:val="20"/>
              </w:rPr>
              <w:t>Промислова експлуатація, передача коду і прав</w:t>
            </w:r>
          </w:p>
        </w:tc>
        <w:tc>
          <w:tcPr>
            <w:tcW w:type="dxa" w:w="2160"/>
          </w:tcPr>
          <w:p>
            <w:r>
              <w:rPr>
                <w:sz w:val="20"/>
              </w:rPr>
              <w:t>10%</w:t>
            </w:r>
          </w:p>
        </w:tc>
        <w:tc>
          <w:tcPr>
            <w:tcW w:type="dxa" w:w="2160"/>
          </w:tcPr>
          <w:p>
            <w:r>
              <w:rPr>
                <w:sz w:val="20"/>
              </w:rPr>
              <w:t>Фінальний акт, передача коду/даних/прав</w:t>
            </w:r>
          </w:p>
        </w:tc>
      </w:tr>
      <w:tr>
        <w:tc>
          <w:tcPr>
            <w:tcW w:type="dxa" w:w="2160"/>
          </w:tcPr>
          <w:p>
            <w:r>
              <w:rPr>
                <w:sz w:val="20"/>
              </w:rPr>
            </w:r>
          </w:p>
        </w:tc>
        <w:tc>
          <w:tcPr>
            <w:tcW w:type="dxa" w:w="2160"/>
          </w:tcPr>
          <w:p>
            <w:r>
              <w:rPr>
                <w:sz w:val="20"/>
              </w:rPr>
              <w:t>Разом</w:t>
            </w:r>
          </w:p>
        </w:tc>
        <w:tc>
          <w:tcPr>
            <w:tcW w:type="dxa" w:w="2160"/>
          </w:tcPr>
          <w:p>
            <w:r>
              <w:rPr>
                <w:sz w:val="20"/>
              </w:rPr>
              <w:t>100%</w:t>
            </w:r>
          </w:p>
        </w:tc>
        <w:tc>
          <w:tcPr>
            <w:tcW w:type="dxa" w:w="2160"/>
          </w:tcPr>
          <w:p>
            <w:r>
              <w:rPr>
                <w:sz w:val="20"/>
              </w:rPr>
            </w:r>
          </w:p>
        </w:tc>
      </w:tr>
    </w:tbl>
    <w:p/>
    <w:p/>
    <w:p>
      <w:r>
        <w:t>Кожен транш сплачується протягом 30 банківських днів після підписання акта.</w:t>
      </w:r>
    </w:p>
    <w:p/>
    <w:p>
      <w:pPr>
        <w:pStyle w:val="Heading3"/>
      </w:pPr>
      <w:r>
        <w:t>5.1. Гарантії виконання</w:t>
      </w:r>
    </w:p>
    <w:p/>
    <w:p>
      <w:r>
        <w:t>Виконавець надає на вибір Замовника: банківську гарантію повернення авансу (M0) та/або гарантію належного виконання (performance bond) на період робіт. Суми та банк-гарант фіксуються в договорі. Ці інструменти прямо адресують ризик передоплати неперевіреному підряднику.</w:t>
      </w:r>
    </w:p>
    <w:p/>
    <w:p/>
    <w:p>
      <w:pPr>
        <w:pStyle w:val="Heading2"/>
      </w:pPr>
      <w:r>
        <w:t>6. Комерційні умови</w:t>
      </w:r>
    </w:p>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sz w:val="20"/>
              </w:rPr>
              <w:t>Параметр</w:t>
            </w:r>
          </w:p>
        </w:tc>
        <w:tc>
          <w:tcPr>
            <w:tcW w:type="dxa" w:w="4320"/>
          </w:tcPr>
          <w:p>
            <w:r>
              <w:rPr>
                <w:b/>
                <w:sz w:val="20"/>
              </w:rPr>
              <w:t>Значення</w:t>
            </w:r>
          </w:p>
        </w:tc>
      </w:tr>
      <w:tr>
        <w:tc>
          <w:tcPr>
            <w:tcW w:type="dxa" w:w="4320"/>
          </w:tcPr>
          <w:p>
            <w:r>
              <w:rPr>
                <w:sz w:val="20"/>
              </w:rPr>
              <w:t>Базова валюта</w:t>
            </w:r>
          </w:p>
        </w:tc>
        <w:tc>
          <w:tcPr>
            <w:tcW w:type="dxa" w:w="4320"/>
          </w:tcPr>
          <w:p>
            <w:r>
              <w:rPr>
                <w:sz w:val="20"/>
              </w:rPr>
              <w:t>USD; оплата в грн за курсом НБУ на дату рахунку (довідково 42 грн/$)</w:t>
            </w:r>
          </w:p>
        </w:tc>
      </w:tr>
      <w:tr>
        <w:tc>
          <w:tcPr>
            <w:tcW w:type="dxa" w:w="4320"/>
          </w:tcPr>
          <w:p>
            <w:r>
              <w:rPr>
                <w:sz w:val="20"/>
              </w:rPr>
              <w:t>ПДВ</w:t>
            </w:r>
          </w:p>
        </w:tc>
        <w:tc>
          <w:tcPr>
            <w:tcW w:type="dxa" w:w="4320"/>
          </w:tcPr>
          <w:p>
            <w:r>
              <w:rPr>
                <w:sz w:val="20"/>
              </w:rPr>
              <w:t>Ціни без ПДВ; ПДВ нараховується додатково згідно з ПКУ за чинною ставкою на дату акта</w:t>
            </w:r>
          </w:p>
        </w:tc>
      </w:tr>
      <w:tr>
        <w:tc>
          <w:tcPr>
            <w:tcW w:type="dxa" w:w="4320"/>
          </w:tcPr>
          <w:p>
            <w:r>
              <w:rPr>
                <w:sz w:val="20"/>
              </w:rPr>
              <w:t>Термін дії оферти</w:t>
            </w:r>
          </w:p>
        </w:tc>
        <w:tc>
          <w:tcPr>
            <w:tcW w:type="dxa" w:w="4320"/>
          </w:tcPr>
          <w:p>
            <w:r>
              <w:rPr>
                <w:sz w:val="20"/>
              </w:rPr>
              <w:t>90 календарних днів з дати видачі</w:t>
            </w:r>
          </w:p>
        </w:tc>
      </w:tr>
      <w:tr>
        <w:tc>
          <w:tcPr>
            <w:tcW w:type="dxa" w:w="4320"/>
          </w:tcPr>
          <w:p>
            <w:r>
              <w:rPr>
                <w:sz w:val="20"/>
              </w:rPr>
              <w:t>Гарантійний період</w:t>
            </w:r>
          </w:p>
        </w:tc>
        <w:tc>
          <w:tcPr>
            <w:tcW w:type="dxa" w:w="4320"/>
          </w:tcPr>
          <w:p>
            <w:r>
              <w:rPr>
                <w:sz w:val="20"/>
              </w:rPr>
              <w:t>24 місяці з дати акта промислової експлуатації (M5)</w:t>
            </w:r>
          </w:p>
        </w:tc>
      </w:tr>
      <w:tr>
        <w:tc>
          <w:tcPr>
            <w:tcW w:type="dxa" w:w="4320"/>
          </w:tcPr>
          <w:p>
            <w:r>
              <w:rPr>
                <w:sz w:val="20"/>
              </w:rPr>
              <w:t>Виправлення дефектів у гарантії</w:t>
            </w:r>
          </w:p>
        </w:tc>
        <w:tc>
          <w:tcPr>
            <w:tcW w:type="dxa" w:w="4320"/>
          </w:tcPr>
          <w:p>
            <w:r>
              <w:rPr>
                <w:sz w:val="20"/>
              </w:rPr>
              <w:t>Безкоштовно, у строки за SLA (розділ 9.4)</w:t>
            </w:r>
          </w:p>
        </w:tc>
      </w:tr>
      <w:tr>
        <w:tc>
          <w:tcPr>
            <w:tcW w:type="dxa" w:w="4320"/>
          </w:tcPr>
          <w:p>
            <w:r>
              <w:rPr>
                <w:sz w:val="20"/>
              </w:rPr>
              <w:t>Валютне застереження</w:t>
            </w:r>
          </w:p>
        </w:tc>
        <w:tc>
          <w:tcPr>
            <w:tcW w:type="dxa" w:w="4320"/>
          </w:tcPr>
          <w:p>
            <w:r>
              <w:rPr>
                <w:sz w:val="20"/>
              </w:rPr>
              <w:t>Ціна в USD фіксована; курсова різниця при оплаті в грн — за фактичним курсом НБУ</w:t>
            </w:r>
          </w:p>
        </w:tc>
      </w:tr>
    </w:tbl>
    <w:p/>
    <w:p/>
    <w:p/>
    <w:p>
      <w:pPr>
        <w:pStyle w:val="Heading2"/>
      </w:pPr>
      <w:r>
        <w:t>7. Режим ПДВ та розрахунки</w:t>
      </w:r>
    </w:p>
    <w:p/>
    <w:p>
      <w:r>
        <w:t>Ціни розділів 3 і 9 наведені без ПДВ. ПДВ нараховується додатково згідно з Податковим кодексом України за ставкою, чинною на дату акта. Оплата здійснюється у гривні за курсом НБУ на дату виставлення рахунку; курсова різниця — за фактичним курсом НБУ.</w:t>
      </w:r>
    </w:p>
    <w:p/>
    <w:p/>
    <w:p>
      <w:pPr>
        <w:pStyle w:val="Heading2"/>
      </w:pPr>
      <w:r>
        <w:t>8. Авторські права, передача у власність та відсутність зобов'язань (ключовий розділ)</w:t>
      </w:r>
    </w:p>
    <w:p/>
    <w:p>
      <w:r>
        <w:t>Цей розділ є обов'язковою умовою оферти і застосовується до кожного продукту.</w:t>
      </w:r>
    </w:p>
    <w:p/>
    <w:p>
      <w:pPr>
        <w:pStyle w:val="Heading3"/>
      </w:pPr>
      <w:r>
        <w:t>8.1. Повна передача програмного продукту та коду у власність Замовника</w:t>
      </w:r>
    </w:p>
    <w:p/>
    <w:p>
      <w:pPr>
        <w:pStyle w:val="ListBullet"/>
      </w:pPr>
      <w:r>
        <w:t>Усі вихідні коди, виконувані артефакти, налаштовані моделі та повна технічна документація передаються у власність ПрАТ «НЕК «УКРЕНЕРГО» на milestone M5 без обмежень та роялті.</w:t>
      </w:r>
    </w:p>
    <w:p>
      <w:pPr>
        <w:pStyle w:val="ListBullet"/>
      </w:pPr>
      <w:r>
        <w:t>Виключні майнові права на створене ПЗ (конкретну реалізацію, поставлену Замовнику) переходять до Замовника в повному обсязі.</w:t>
      </w:r>
    </w:p>
    <w:p>
      <w:pPr>
        <w:pStyle w:val="ListBullet"/>
      </w:pPr>
      <w:r>
        <w:t>Передача технічно дозволяє Замовнику самостійно експлуатувати, супроводжувати та розвивати продукт без технологічної залежності від розробника.</w:t>
      </w:r>
    </w:p>
    <w:p/>
    <w:p>
      <w:pPr>
        <w:pStyle w:val="Heading3"/>
      </w:pPr>
      <w:r>
        <w:t>8.2. Що залишається за Розробником</w:t>
      </w:r>
    </w:p>
    <w:p/>
    <w:p>
      <w:pPr>
        <w:pStyle w:val="ListBullet"/>
      </w:pPr>
      <w:r>
        <w:t>Авторські права, методологія, алгоритми та ноу-хау Розробника, на основі яких створено продукт, залишаються за Розробником. Розробник зберігає право використовувати їх для створення нових продуктів і модулів для інших замовників.</w:t>
      </w:r>
    </w:p>
    <w:p>
      <w:pPr>
        <w:pStyle w:val="ListBullet"/>
      </w:pPr>
      <w:r>
        <w:t>Замовник отримує повні права на свій екземпляр продукту і його код; він не отримує монопольних прав на загальну методологію та алгоритмічні підходи Розробника.</w:t>
      </w:r>
    </w:p>
    <w:p/>
    <w:p>
      <w:pPr>
        <w:pStyle w:val="Heading3"/>
      </w:pPr>
      <w:r>
        <w:t>8.3. Повна передача без зобов'язань (відсутність vendor lock-in)</w:t>
      </w:r>
    </w:p>
    <w:p/>
    <w:p>
      <w:pPr>
        <w:pStyle w:val="ListBullet"/>
      </w:pPr>
      <w:r>
        <w:t>Передача є остаточною. Після M5 Замовник не залежить від Розробника для експлуатації продукту.</w:t>
      </w:r>
    </w:p>
    <w:p>
      <w:pPr>
        <w:pStyle w:val="ListBullet"/>
      </w:pPr>
      <w:r>
        <w:t>Замовник вільний найняти будь-якого іншого виконавця для подальшого розвитку, доопрацювання чи супроводу продукту.</w:t>
      </w:r>
    </w:p>
    <w:p>
      <w:pPr>
        <w:pStyle w:val="ListBullet"/>
      </w:pPr>
      <w:r>
        <w:t>Розробник не зобов'язаний супроводжувати продукт після завершення гарантійного періоду; супровід — окрема опціональна послуга (розділ 9.4), а не умова працездатності.</w:t>
      </w:r>
    </w:p>
    <w:p>
      <w:pPr>
        <w:pStyle w:val="ListBullet"/>
      </w:pPr>
      <w:r>
        <w:t>Дані Замовника на всіх етапах залишаються виключною власністю Замовника.</w:t>
      </w:r>
    </w:p>
    <w:p/>
    <w:p>
      <w:pPr>
        <w:ind w:left="454"/>
      </w:pPr>
      <w:r>
        <w:rPr>
          <w:i/>
        </w:rPr>
        <w:t>Розведення передачі коду і SLA. Передача коду і прав — це технічна можливість бути незалежним: vendor lock-in на рівні прав власності відсутній. SLA (розділ 9.4) — окрема комерційна послуга, не замок: вона пропонується як швидший і дешевший шлях, ніж переучування третього підрядника на незнайому систему, а не як умова працездатності. Ці дві обіцянки не суперечать одна одній.</w:t>
      </w:r>
    </w:p>
    <w:p/>
    <w:p/>
    <w:p>
      <w:pPr>
        <w:pStyle w:val="Heading2"/>
      </w:pPr>
      <w:r>
        <w:t>Класи зрілості рішення — за що ви платите</w:t>
      </w:r>
    </w:p>
    <w:p/>
    <w:p>
      <w:r>
        <w:t>Головне питання Замовника — «не знаючи класу точності, не розумію обсяг і ціну». Відповідь системна: ціна — це функція КЛАСУ зрілості (точність → дані → відповідальність → SLA), а не кількість екранів. Спочатку обираємо клас — потім фіксуємо ціну.</w:t>
      </w:r>
    </w:p>
    <w:p/>
    <w:tbl>
      <w:tblPr>
        <w:tblStyle w:val="LightGrid-Accent1"/>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sz w:val="20"/>
              </w:rPr>
              <w:t>Клас</w:t>
            </w:r>
          </w:p>
        </w:tc>
        <w:tc>
          <w:tcPr>
            <w:tcW w:type="dxa" w:w="1728"/>
          </w:tcPr>
          <w:p>
            <w:r>
              <w:rPr>
                <w:b/>
                <w:sz w:val="20"/>
              </w:rPr>
              <w:t>Мета</w:t>
            </w:r>
          </w:p>
        </w:tc>
        <w:tc>
          <w:tcPr>
            <w:tcW w:type="dxa" w:w="1728"/>
          </w:tcPr>
          <w:p>
            <w:r>
              <w:rPr>
                <w:b/>
                <w:sz w:val="20"/>
              </w:rPr>
              <w:t>Дані / відповідальність</w:t>
            </w:r>
          </w:p>
        </w:tc>
        <w:tc>
          <w:tcPr>
            <w:tcW w:type="dxa" w:w="1728"/>
          </w:tcPr>
          <w:p>
            <w:r>
              <w:rPr>
                <w:b/>
                <w:sz w:val="20"/>
              </w:rPr>
              <w:t>Точність (приклад A1)</w:t>
            </w:r>
          </w:p>
        </w:tc>
        <w:tc>
          <w:tcPr>
            <w:tcW w:type="dxa" w:w="1728"/>
          </w:tcPr>
          <w:p>
            <w:r>
              <w:rPr>
                <w:b/>
                <w:sz w:val="20"/>
              </w:rPr>
              <w:t>Ціна</w:t>
            </w:r>
          </w:p>
        </w:tc>
      </w:tr>
      <w:tr>
        <w:tc>
          <w:tcPr>
            <w:tcW w:type="dxa" w:w="1728"/>
          </w:tcPr>
          <w:p>
            <w:r>
              <w:rPr>
                <w:sz w:val="20"/>
              </w:rPr>
              <w:t>0. Discovery</w:t>
            </w:r>
          </w:p>
        </w:tc>
        <w:tc>
          <w:tcPr>
            <w:tcW w:type="dxa" w:w="1728"/>
          </w:tcPr>
          <w:p>
            <w:r>
              <w:rPr>
                <w:sz w:val="20"/>
              </w:rPr>
              <w:t>уточнити scope, дані, клас</w:t>
            </w:r>
          </w:p>
        </w:tc>
        <w:tc>
          <w:tcPr>
            <w:tcW w:type="dxa" w:w="1728"/>
          </w:tcPr>
          <w:p>
            <w:r>
              <w:rPr>
                <w:sz w:val="20"/>
              </w:rPr>
              <w:t>—</w:t>
            </w:r>
          </w:p>
        </w:tc>
        <w:tc>
          <w:tcPr>
            <w:tcW w:type="dxa" w:w="1728"/>
          </w:tcPr>
          <w:p>
            <w:r>
              <w:rPr>
                <w:sz w:val="20"/>
              </w:rPr>
              <w:t>—</w:t>
            </w:r>
          </w:p>
        </w:tc>
        <w:tc>
          <w:tcPr>
            <w:tcW w:type="dxa" w:w="1728"/>
          </w:tcPr>
          <w:p>
            <w:r>
              <w:rPr>
                <w:sz w:val="20"/>
              </w:rPr>
              <w:t>$50–300k</w:t>
            </w:r>
          </w:p>
        </w:tc>
      </w:tr>
      <w:tr>
        <w:tc>
          <w:tcPr>
            <w:tcW w:type="dxa" w:w="1728"/>
          </w:tcPr>
          <w:p>
            <w:r>
              <w:rPr>
                <w:sz w:val="20"/>
              </w:rPr>
              <w:t>1. Pilot / Evidence</w:t>
            </w:r>
          </w:p>
        </w:tc>
        <w:tc>
          <w:tcPr>
            <w:tcW w:type="dxa" w:w="1728"/>
          </w:tcPr>
          <w:p>
            <w:r>
              <w:rPr>
                <w:sz w:val="20"/>
              </w:rPr>
              <w:t>показати метод і цінність</w:t>
            </w:r>
          </w:p>
        </w:tc>
        <w:tc>
          <w:tcPr>
            <w:tcW w:type="dxa" w:w="1728"/>
          </w:tcPr>
          <w:p>
            <w:r>
              <w:rPr>
                <w:sz w:val="20"/>
              </w:rPr>
              <w:t>синтетика/відкриті, без SLA</w:t>
            </w:r>
          </w:p>
        </w:tc>
        <w:tc>
          <w:tcPr>
            <w:tcW w:type="dxa" w:w="1728"/>
          </w:tcPr>
          <w:p>
            <w:r>
              <w:rPr>
                <w:sz w:val="20"/>
              </w:rPr>
              <w:t>A1 ±20–30% (легка модель впливу)</w:t>
            </w:r>
          </w:p>
        </w:tc>
        <w:tc>
          <w:tcPr>
            <w:tcW w:type="dxa" w:w="1728"/>
          </w:tcPr>
          <w:p>
            <w:r>
              <w:rPr>
                <w:sz w:val="20"/>
              </w:rPr>
              <w:t>нижня точка входу</w:t>
            </w:r>
          </w:p>
        </w:tc>
      </w:tr>
      <w:tr>
        <w:tc>
          <w:tcPr>
            <w:tcW w:type="dxa" w:w="1728"/>
          </w:tcPr>
          <w:p>
            <w:r>
              <w:rPr>
                <w:sz w:val="20"/>
              </w:rPr>
              <w:t>2. Analytical / Department</w:t>
            </w:r>
          </w:p>
        </w:tc>
        <w:tc>
          <w:tcPr>
            <w:tcW w:type="dxa" w:w="1728"/>
          </w:tcPr>
          <w:p>
            <w:r>
              <w:rPr>
                <w:sz w:val="20"/>
              </w:rPr>
              <w:t>робочий аналітичний контур</w:t>
            </w:r>
          </w:p>
        </w:tc>
        <w:tc>
          <w:tcPr>
            <w:tcW w:type="dxa" w:w="1728"/>
          </w:tcPr>
          <w:p>
            <w:r>
              <w:rPr>
                <w:sz w:val="20"/>
              </w:rPr>
              <w:t>реальні історичні дані під NDA, калібрування</w:t>
            </w:r>
          </w:p>
        </w:tc>
        <w:tc>
          <w:tcPr>
            <w:tcW w:type="dxa" w:w="1728"/>
          </w:tcPr>
          <w:p>
            <w:r>
              <w:rPr>
                <w:sz w:val="20"/>
              </w:rPr>
              <w:t>A1 DC power flow ±10–15%</w:t>
            </w:r>
          </w:p>
        </w:tc>
        <w:tc>
          <w:tcPr>
            <w:tcW w:type="dxa" w:w="1728"/>
          </w:tcPr>
          <w:p>
            <w:r>
              <w:rPr>
                <w:sz w:val="20"/>
              </w:rPr>
              <w:t>середній клас</w:t>
            </w:r>
          </w:p>
        </w:tc>
      </w:tr>
      <w:tr>
        <w:tc>
          <w:tcPr>
            <w:tcW w:type="dxa" w:w="1728"/>
          </w:tcPr>
          <w:p>
            <w:r>
              <w:rPr>
                <w:sz w:val="20"/>
              </w:rPr>
              <w:t>3. Industrial / Enterprise</w:t>
            </w:r>
          </w:p>
        </w:tc>
        <w:tc>
          <w:tcPr>
            <w:tcW w:type="dxa" w:w="1728"/>
          </w:tcPr>
          <w:p>
            <w:r>
              <w:rPr>
                <w:sz w:val="20"/>
              </w:rPr>
              <w:t>промислова система, кілька ролей</w:t>
            </w:r>
          </w:p>
        </w:tc>
        <w:tc>
          <w:tcPr>
            <w:tcW w:type="dxa" w:w="1728"/>
          </w:tcPr>
          <w:p>
            <w:r>
              <w:rPr>
                <w:sz w:val="20"/>
              </w:rPr>
              <w:t>інтеграції, RBAC/RLS/CLS, аудит</w:t>
            </w:r>
          </w:p>
        </w:tc>
        <w:tc>
          <w:tcPr>
            <w:tcW w:type="dxa" w:w="1728"/>
          </w:tcPr>
          <w:p>
            <w:r>
              <w:rPr>
                <w:sz w:val="20"/>
              </w:rPr>
              <w:t>A1 AC power flow клас PSS/E ±2–5%</w:t>
            </w:r>
          </w:p>
        </w:tc>
        <w:tc>
          <w:tcPr>
            <w:tcW w:type="dxa" w:w="1728"/>
          </w:tcPr>
          <w:p>
            <w:r>
              <w:rPr>
                <w:sz w:val="20"/>
              </w:rPr>
              <w:t>високий клас</w:t>
            </w:r>
          </w:p>
        </w:tc>
      </w:tr>
      <w:tr>
        <w:tc>
          <w:tcPr>
            <w:tcW w:type="dxa" w:w="1728"/>
          </w:tcPr>
          <w:p>
            <w:r>
              <w:rPr>
                <w:sz w:val="20"/>
              </w:rPr>
              <w:t>4. Mission-Critical / State Secret</w:t>
            </w:r>
          </w:p>
        </w:tc>
        <w:tc>
          <w:tcPr>
            <w:tcW w:type="dxa" w:w="1728"/>
          </w:tcPr>
          <w:p>
            <w:r>
              <w:rPr>
                <w:sz w:val="20"/>
              </w:rPr>
              <w:t>контур критичної інфраструктури</w:t>
            </w:r>
          </w:p>
        </w:tc>
        <w:tc>
          <w:tcPr>
            <w:tcW w:type="dxa" w:w="1728"/>
          </w:tcPr>
          <w:p>
            <w:r>
              <w:rPr>
                <w:sz w:val="20"/>
              </w:rPr>
              <w:t>режимні/секретні дані в атестованому периметрі, КСЗІ, DR, SLA 24/7, приймальні випробування</w:t>
            </w:r>
          </w:p>
        </w:tc>
        <w:tc>
          <w:tcPr>
            <w:tcW w:type="dxa" w:w="1728"/>
          </w:tcPr>
          <w:p>
            <w:r>
              <w:rPr>
                <w:sz w:val="20"/>
              </w:rPr>
              <w:t>A1 AC + цифровий двійник + war-gaming (PRA)</w:t>
            </w:r>
          </w:p>
        </w:tc>
        <w:tc>
          <w:tcPr>
            <w:tcW w:type="dxa" w:w="1728"/>
          </w:tcPr>
          <w:p>
            <w:r>
              <w:rPr>
                <w:sz w:val="20"/>
              </w:rPr>
              <w:t>МАКСИМАЛЬНИЙ</w:t>
            </w:r>
          </w:p>
        </w:tc>
      </w:tr>
    </w:tbl>
    <w:p/>
    <w:p/>
    <w:p>
      <w:r>
        <w:t>Як це прив'язано до наших цифр:</w:t>
      </w:r>
    </w:p>
    <w:p/>
    <w:p>
      <w:pPr>
        <w:pStyle w:val="ListBullet"/>
      </w:pPr>
      <w:r>
        <w:t>Повні ціни — $26,9 млн (A1) / $15,1 млн (A2) / $9,1 млн (A3) — це Клас 4 (Mission-Critical). Підтверджено ринковими якорями: TwinEU €25 млн та Palantir HHS $90 млн — наша ціна лежить між ними, що для single-tenant ОСП фронтового рівня є консервативною оцінкою.</w:t>
      </w:r>
    </w:p>
    <w:p>
      <w:pPr>
        <w:pStyle w:val="ListBullet"/>
      </w:pPr>
      <w:r>
        <w:t>MVP-цифри — $10.8 / $6.0 / $3,7 млн — не приколочені до класу жорстко: це «нижня точка входу в продукт». Точний клас і ціна фіксуються за підсумками Discovery, де Замовник обирає клас, дані та строк.</w:t>
      </w:r>
    </w:p>
    <w:p>
      <w:pPr>
        <w:pStyle w:val="ListBullet"/>
      </w:pPr>
      <w:r>
        <w:t>Чесність класу. AC-двійник ±2–5% неможливий без режимних даних (державна таємниця) → це Клас 3–4 (Етап-2 під NDA). На Етапі-1 на відкритих даних чесно = Клас 1 (±20–30%). Жодних «AC-картинок» без режимних даних.</w:t>
      </w:r>
    </w:p>
    <w:p/>
    <w:p>
      <w:pPr>
        <w:pStyle w:val="Heading3"/>
      </w:pPr>
      <w:r>
        <w:t>Межі пілота (що демо НЕ підмінює)</w:t>
      </w:r>
    </w:p>
    <w:p/>
    <w:p>
      <w:r>
        <w:t>Поточний пілот показує управлінську й аналітичну цінність підходу (карта ризиків, сценарії, нагляд аномалій ринку, прогноз втрат). Він НЕ підмінює:</w:t>
      </w:r>
    </w:p>
    <w:p/>
    <w:p>
      <w:pPr>
        <w:pStyle w:val="ListBullet"/>
      </w:pPr>
      <w:r>
        <w:t>існуючі SCADA / EMS / DMS;</w:t>
      </w:r>
    </w:p>
    <w:p>
      <w:pPr>
        <w:pStyle w:val="ListBullet"/>
      </w:pPr>
      <w:r>
        <w:t>інженерні розрахункові комплекси (повний AC power flow на режимних даних);</w:t>
      </w:r>
    </w:p>
    <w:p>
      <w:pPr>
        <w:pStyle w:val="ListBullet"/>
      </w:pPr>
      <w:r>
        <w:t>регуляторні системи розслідування (сигнал ≠ юридичний доказ);</w:t>
      </w:r>
    </w:p>
    <w:p>
      <w:pPr>
        <w:pStyle w:val="ListBullet"/>
      </w:pPr>
      <w:r>
        <w:t>сертифіковані контури кіберзахисту (КСЗІ).</w:t>
      </w:r>
    </w:p>
    <w:p/>
    <w:p>
      <w:r>
        <w:t>Це доказ спроможності (Етап-1), а не фінальний промисловий продукт.</w:t>
      </w:r>
    </w:p>
    <w:p/>
    <w:p>
      <w:pPr>
        <w:pStyle w:val="Heading3"/>
      </w:pPr>
      <w:r>
        <w:t>Discovery — питання перед фіналізацією обсягу й ціни</w:t>
      </w:r>
    </w:p>
    <w:p/>
    <w:p>
      <w:r>
        <w:t>Перед фінальною оцінкою обсягу та ціни ми проводимо Discovery (Клас 0). Нижче — питання, відповіді на які фіксують клас, дані та строк.</w:t>
      </w:r>
    </w:p>
    <w:p/>
    <w:p>
      <w:r>
        <w:t>Наскрізні (для будь-якого продукту):</w:t>
      </w:r>
    </w:p>
    <w:p/>
    <w:p>
      <w:pPr>
        <w:pStyle w:val="ListNumber"/>
      </w:pPr>
      <w:r>
        <w:t>Який клас рішення потрібен на першому етапі: пілот, аналітичний продукт, інженерна система чи операційна платформа?</w:t>
      </w:r>
    </w:p>
    <w:p>
      <w:pPr>
        <w:pStyle w:val="ListNumber"/>
      </w:pPr>
      <w:r>
        <w:t>Система для демонстрації/узгодження підходу чи для регулярної експлуатації?</w:t>
      </w:r>
    </w:p>
    <w:p>
      <w:pPr>
        <w:pStyle w:val="ListNumber"/>
      </w:pPr>
      <w:r>
        <w:t>Які підрозділи — перші користувачі (керівництво, аналітики, диспетчери, комерційний блок, служба безпеки, ринок)?</w:t>
      </w:r>
    </w:p>
    <w:p>
      <w:pPr>
        <w:pStyle w:val="ListNumber"/>
      </w:pPr>
      <w:r>
        <w:t>Які дані можуть бути передані на першому етапі: відкриті, знеособлені, історичні, NDA, live?</w:t>
      </w:r>
    </w:p>
    <w:p>
      <w:pPr>
        <w:pStyle w:val="ListNumber"/>
      </w:pPr>
      <w:r>
        <w:t>Які обмеження щодо секретності, розміщення, мережі, доступів і журналювання?</w:t>
      </w:r>
    </w:p>
    <w:p>
      <w:pPr>
        <w:pStyle w:val="ListNumber"/>
      </w:pPr>
      <w:r>
        <w:t>Що вважається успіхом першого етапу (робочий пілот, точність моделі, інтеграція, звітність, рішення про промислову версію)?</w:t>
      </w:r>
    </w:p>
    <w:p>
      <w:pPr>
        <w:pStyle w:val="ListNumber"/>
      </w:pPr>
      <w:r>
        <w:t>Чи потрібна повна автономність передачі без залежності від розробника вже в пілоті, чи лише в промисловій поставці?</w:t>
      </w:r>
    </w:p>
    <w:p/>
    <w:p>
      <w:r>
        <w:t>Продукт №1 (управління ризиками безпеки):</w:t>
      </w:r>
    </w:p>
    <w:p/>
    <w:p>
      <w:pPr>
        <w:pStyle w:val="ListBullet"/>
      </w:pPr>
      <w:r>
        <w:t>керівничий risk-cockpit чи інженерний розрахунковий контур;</w:t>
      </w:r>
    </w:p>
    <w:p>
      <w:pPr>
        <w:pStyle w:val="ListBullet"/>
      </w:pPr>
      <w:r>
        <w:t>класи об'єктів (750/330/220/110, генерація, АЕС);</w:t>
      </w:r>
    </w:p>
    <w:p>
      <w:pPr>
        <w:pStyle w:val="ListBullet"/>
      </w:pPr>
      <w:r>
        <w:t>N-1/N-2/N-k чи сценарний скоринг;</w:t>
      </w:r>
    </w:p>
    <w:p>
      <w:pPr>
        <w:pStyle w:val="ListBullet"/>
      </w:pPr>
      <w:r>
        <w:t>доступ до топології/параметрів/інцидентів;</w:t>
      </w:r>
    </w:p>
    <w:p>
      <w:pPr>
        <w:pStyle w:val="ListBullet"/>
      </w:pPr>
      <w:r>
        <w:t>чи потрібен режим «що укріплювати першим».</w:t>
      </w:r>
    </w:p>
    <w:p/>
    <w:p>
      <w:r>
        <w:t>Продукт №2 (нагляд за ринком):</w:t>
      </w:r>
    </w:p>
    <w:p/>
    <w:p>
      <w:pPr>
        <w:pStyle w:val="ListBullet"/>
      </w:pPr>
      <w:r>
        <w:t>лише сигналізувати чи підтримувати розслідування;</w:t>
      </w:r>
    </w:p>
    <w:p>
      <w:pPr>
        <w:pStyle w:val="ListBullet"/>
      </w:pPr>
      <w:r>
        <w:t>доступні дані (заявки/угоди/учасники/ціни);</w:t>
      </w:r>
    </w:p>
    <w:p>
      <w:pPr>
        <w:pStyle w:val="ListBullet"/>
      </w:pPr>
      <w:r>
        <w:t>чи потрібна юридична кваліфікація;</w:t>
      </w:r>
    </w:p>
    <w:p>
      <w:pPr>
        <w:pStyle w:val="ListBullet"/>
      </w:pPr>
      <w:r>
        <w:t>workflow розслідування;</w:t>
      </w:r>
    </w:p>
    <w:p>
      <w:pPr>
        <w:pStyle w:val="ListBullet"/>
      </w:pPr>
      <w:r>
        <w:t>чи враховувати фізичний контекст.</w:t>
      </w:r>
    </w:p>
    <w:p/>
    <w:p>
      <w:r>
        <w:t>Продукт №3 (прогноз втрат):</w:t>
      </w:r>
    </w:p>
    <w:p/>
    <w:p>
      <w:pPr>
        <w:pStyle w:val="ListBullet"/>
      </w:pPr>
      <w:r>
        <w:t>бюджетний прогноз чи інженерний розрахунок;</w:t>
      </w:r>
    </w:p>
    <w:p>
      <w:pPr>
        <w:pStyle w:val="ListBullet"/>
      </w:pPr>
      <w:r>
        <w:t>історичні дані (втрати/навантаження/погода/закупівлі);</w:t>
      </w:r>
    </w:p>
    <w:p>
      <w:pPr>
        <w:pStyle w:val="ListBullet"/>
      </w:pPr>
      <w:r>
        <w:t>розбивка по класах напруги/регіонах;</w:t>
      </w:r>
    </w:p>
    <w:p>
      <w:pPr>
        <w:pStyle w:val="ListBullet"/>
      </w:pPr>
      <w:r>
        <w:t>розділення техн./комерц. втрат;</w:t>
      </w:r>
    </w:p>
    <w:p>
      <w:pPr>
        <w:pStyle w:val="ListBullet"/>
      </w:pPr>
      <w:r>
        <w:t>цільова метрика (MAPE/MAE/економічний ефект).</w:t>
      </w:r>
    </w:p>
    <w:p/>
    <w:p>
      <w:pPr>
        <w:ind w:left="454"/>
      </w:pPr>
      <w:r>
        <w:rPr>
          <w:i/>
        </w:rPr>
        <w:t>Підсумкова теза для переговорів. Ми не продаємо дашборд. Ми продаємо шлях до перевірюваної здатності Укренерго ухвалювати рішення на даних: від безпечного пілота до промислового контуру потрібного класу зрілості. Масштаб, ціна і строки залежать від даних, режиму секретності, інтеграцій, SLA і глибини передачі замовнику.</w:t>
      </w:r>
    </w:p>
    <w:p/>
    <w:p/>
    <w:p>
      <w:pPr>
        <w:pStyle w:val="Heading2"/>
      </w:pPr>
      <w:r>
        <w:t>9. Суміжні продукти — можемо реалізувати так само (окремими проектами)</w:t>
      </w:r>
    </w:p>
    <w:p/>
    <w:p>
      <w:r>
        <w:t>Понад Продукт №1 ми можемо реалізувати точно так само, окремими проектами за окремим запитом, ще два продукти. Кожен — самостійний, повноцінний сам по собі, з власним ТЗ, окремим бюджетом і окремим додатковим узгодженням.</w:t>
      </w:r>
    </w:p>
    <w:p/>
    <w:p>
      <w:pPr>
        <w:pStyle w:val="Heading3"/>
      </w:pPr>
      <w:r>
        <w:t>9.1. Продукт №2 — Система виявлення зловживань на енергоринку (нагляд за ринком РСВ/ВСР)</w:t>
      </w:r>
    </w:p>
    <w:p/>
    <w:p>
      <w:pPr>
        <w:pStyle w:val="ListBullet"/>
      </w:pPr>
      <w:r>
        <w:t>Суть: автоматизоване виявлення маніпуляцій та зловживань на ринку «на добу наперед» (РСВ) та внутрішньодобовому ринку (ВСР), комплаєнс із регламентом ЄС про доброчесність та прозорість оптового енергоринку (REMIT). Клас рішення, зіставний із системами біржового нагляду.</w:t>
      </w:r>
    </w:p>
    <w:p>
      <w:pPr>
        <w:pStyle w:val="ListBullet"/>
      </w:pPr>
      <w:r>
        <w:t>Ціна: Повна версія $15,1 млн (MVP $6,0 млн).</w:t>
      </w:r>
    </w:p>
    <w:p>
      <w:pPr>
        <w:pStyle w:val="ListBullet"/>
      </w:pPr>
      <w:r>
        <w:t>Позиціонування: це окремий продукт, дешевший за Продукт №1. Головна цінність — регуляторна необхідність (комплаєнс REMIT, виконання вимоги ENTSO-E), а не прямий грошовий ефект; прямий ROI помірний.</w:t>
      </w:r>
    </w:p>
    <w:p/>
    <w:p>
      <w:pPr>
        <w:pStyle w:val="Heading3"/>
      </w:pPr>
      <w:r>
        <w:t>9.2. Продукт №3 — Система прогнозування технологічних втрат</w:t>
      </w:r>
    </w:p>
    <w:p/>
    <w:p>
      <w:pPr>
        <w:pStyle w:val="ListBullet"/>
      </w:pPr>
      <w:r>
        <w:t>Суть: прогнозування та зниження технічних і комерційних втрат у мережі; це найбільш готовий за даними напрям (наявна база обленерго).</w:t>
      </w:r>
    </w:p>
    <w:p>
      <w:pPr>
        <w:pStyle w:val="ListBullet"/>
      </w:pPr>
      <w:r>
        <w:t>Ціна: Повна версія $9,1 млн (MVP $3,7 млн) — найдешевший із трьох продуктів.</w:t>
      </w:r>
    </w:p>
    <w:p>
      <w:pPr>
        <w:pStyle w:val="ListBullet"/>
      </w:pPr>
      <w:r>
        <w:t>Позиціонування: окремий проект; завдяки готовій базі даних — найкоротший шлях до перевірюваного результату.</w:t>
      </w:r>
    </w:p>
    <w:p/>
    <w:p>
      <w:pPr>
        <w:pStyle w:val="Heading3"/>
      </w:pPr>
      <w:r>
        <w:t>9.3. Зведення цін трьох продуктів (як окремих проектів — Модель A, за замовчуванням)</w:t>
      </w:r>
    </w:p>
    <w:p/>
    <w:tbl>
      <w:tblPr>
        <w:tblStyle w:val="LightGrid-Accent1"/>
        <w:tblW w:type="auto" w:w="0"/>
        <w:jc w:val="center"/>
        <w:tblLook w:firstColumn="1" w:firstRow="1" w:lastColumn="0" w:lastRow="0" w:noHBand="0" w:noVBand="1" w:val="04A0"/>
      </w:tblPr>
      <w:tblGrid>
        <w:gridCol w:w="2880"/>
        <w:gridCol w:w="2880"/>
        <w:gridCol w:w="2880"/>
      </w:tblGrid>
      <w:tr>
        <w:tc>
          <w:tcPr>
            <w:tcW w:type="dxa" w:w="2880"/>
          </w:tcPr>
          <w:p>
            <w:r>
              <w:rPr>
                <w:b/>
                <w:sz w:val="20"/>
              </w:rPr>
              <w:t>Продукт</w:t>
            </w:r>
          </w:p>
        </w:tc>
        <w:tc>
          <w:tcPr>
            <w:tcW w:type="dxa" w:w="2880"/>
          </w:tcPr>
          <w:p>
            <w:r>
              <w:rPr>
                <w:b/>
                <w:sz w:val="20"/>
              </w:rPr>
              <w:t>Повна версія, $</w:t>
            </w:r>
          </w:p>
        </w:tc>
        <w:tc>
          <w:tcPr>
            <w:tcW w:type="dxa" w:w="2880"/>
          </w:tcPr>
          <w:p>
            <w:r>
              <w:rPr>
                <w:b/>
                <w:sz w:val="20"/>
              </w:rPr>
              <w:t>MVP, $</w:t>
            </w:r>
          </w:p>
        </w:tc>
      </w:tr>
      <w:tr>
        <w:tc>
          <w:tcPr>
            <w:tcW w:type="dxa" w:w="2880"/>
          </w:tcPr>
          <w:p>
            <w:r>
              <w:rPr>
                <w:sz w:val="20"/>
              </w:rPr>
              <w:t>№1 — Управління ризиками безпеки та прогноз загроз (герой)</w:t>
            </w:r>
          </w:p>
        </w:tc>
        <w:tc>
          <w:tcPr>
            <w:tcW w:type="dxa" w:w="2880"/>
          </w:tcPr>
          <w:p>
            <w:r>
              <w:rPr>
                <w:sz w:val="20"/>
              </w:rPr>
              <w:t>26 900 000</w:t>
            </w:r>
          </w:p>
        </w:tc>
        <w:tc>
          <w:tcPr>
            <w:tcW w:type="dxa" w:w="2880"/>
          </w:tcPr>
          <w:p>
            <w:r>
              <w:rPr>
                <w:sz w:val="20"/>
              </w:rPr>
              <w:t>10 800 000</w:t>
            </w:r>
          </w:p>
        </w:tc>
      </w:tr>
      <w:tr>
        <w:tc>
          <w:tcPr>
            <w:tcW w:type="dxa" w:w="2880"/>
          </w:tcPr>
          <w:p>
            <w:r>
              <w:rPr>
                <w:sz w:val="20"/>
              </w:rPr>
              <w:t>№2 — Виявлення зловживань на енергоринку</w:t>
            </w:r>
          </w:p>
        </w:tc>
        <w:tc>
          <w:tcPr>
            <w:tcW w:type="dxa" w:w="2880"/>
          </w:tcPr>
          <w:p>
            <w:r>
              <w:rPr>
                <w:sz w:val="20"/>
              </w:rPr>
              <w:t>15 100 000</w:t>
            </w:r>
          </w:p>
        </w:tc>
        <w:tc>
          <w:tcPr>
            <w:tcW w:type="dxa" w:w="2880"/>
          </w:tcPr>
          <w:p>
            <w:r>
              <w:rPr>
                <w:sz w:val="20"/>
              </w:rPr>
              <w:t>6 000 000</w:t>
            </w:r>
          </w:p>
        </w:tc>
      </w:tr>
      <w:tr>
        <w:tc>
          <w:tcPr>
            <w:tcW w:type="dxa" w:w="2880"/>
          </w:tcPr>
          <w:p>
            <w:r>
              <w:rPr>
                <w:sz w:val="20"/>
              </w:rPr>
              <w:t>№3 — Прогнозування технологічних втрат</w:t>
            </w:r>
          </w:p>
        </w:tc>
        <w:tc>
          <w:tcPr>
            <w:tcW w:type="dxa" w:w="2880"/>
          </w:tcPr>
          <w:p>
            <w:r>
              <w:rPr>
                <w:sz w:val="20"/>
              </w:rPr>
              <w:t>9 100 000</w:t>
            </w:r>
          </w:p>
        </w:tc>
        <w:tc>
          <w:tcPr>
            <w:tcW w:type="dxa" w:w="2880"/>
          </w:tcPr>
          <w:p>
            <w:r>
              <w:rPr>
                <w:sz w:val="20"/>
              </w:rPr>
              <w:t>3 700 000</w:t>
            </w:r>
          </w:p>
        </w:tc>
      </w:tr>
      <w:tr>
        <w:tc>
          <w:tcPr>
            <w:tcW w:type="dxa" w:w="2880"/>
          </w:tcPr>
          <w:p>
            <w:r>
              <w:rPr>
                <w:sz w:val="20"/>
              </w:rPr>
              <w:t>Разом три окремі продукти (Модель A)</w:t>
            </w:r>
          </w:p>
        </w:tc>
        <w:tc>
          <w:tcPr>
            <w:tcW w:type="dxa" w:w="2880"/>
          </w:tcPr>
          <w:p>
            <w:r>
              <w:rPr>
                <w:sz w:val="20"/>
              </w:rPr>
              <w:t>51 100 000</w:t>
            </w:r>
          </w:p>
        </w:tc>
        <w:tc>
          <w:tcPr>
            <w:tcW w:type="dxa" w:w="2880"/>
          </w:tcPr>
          <w:p>
            <w:r>
              <w:rPr>
                <w:sz w:val="20"/>
              </w:rPr>
              <w:t>—</w:t>
            </w:r>
          </w:p>
        </w:tc>
      </w:tr>
    </w:tbl>
    <w:p/>
    <w:p/>
    <w:p>
      <w:pPr>
        <w:ind w:left="454"/>
      </w:pPr>
      <w:r>
        <w:rPr>
          <w:i/>
        </w:rPr>
        <w:t>Модель A — за замовчуванням. Кожен продукт замовляється і впроваджується окремо: окреме ТЗ, окремий бюджет, окреме додаткове узгодження. Замовник може придбати один продукт, два чи три — у будь-якому складі та послідовності. Жодного зобов'язання купувати більше одного продукту немає.</w:t>
      </w:r>
    </w:p>
    <w:p/>
    <w:p>
      <w:pPr>
        <w:pStyle w:val="Heading3"/>
      </w:pPr>
      <w:r>
        <w:t>9.4. SLA та підтримка (для будь-якого продукту, окремим рядком)</w:t>
      </w:r>
    </w:p>
    <w:p/>
    <w:p>
      <w:r>
        <w:t>Експлуатаційна підтримка понад гарантійний період надається окремим SLA-договором і не входить у ціну. SLA опціональний: продукт повністю передано Замовнику, SLA купується лише за рішенням Замовника.</w:t>
      </w:r>
    </w:p>
    <w:p/>
    <w:tbl>
      <w:tblPr>
        <w:tblStyle w:val="LightGrid-Accent1"/>
        <w:tblW w:type="auto" w:w="0"/>
        <w:jc w:val="center"/>
        <w:tblLook w:firstColumn="1" w:firstRow="1" w:lastColumn="0" w:lastRow="0" w:noHBand="0" w:noVBand="1" w:val="04A0"/>
      </w:tblPr>
      <w:tblGrid>
        <w:gridCol w:w="2880"/>
        <w:gridCol w:w="2880"/>
        <w:gridCol w:w="2880"/>
      </w:tblGrid>
      <w:tr>
        <w:tc>
          <w:tcPr>
            <w:tcW w:type="dxa" w:w="2880"/>
          </w:tcPr>
          <w:p>
            <w:r>
              <w:rPr>
                <w:b/>
                <w:sz w:val="20"/>
              </w:rPr>
              <w:t>Рівень інциденту</w:t>
            </w:r>
          </w:p>
        </w:tc>
        <w:tc>
          <w:tcPr>
            <w:tcW w:type="dxa" w:w="2880"/>
          </w:tcPr>
          <w:p>
            <w:r>
              <w:rPr>
                <w:b/>
                <w:sz w:val="20"/>
              </w:rPr>
              <w:t>Час реакції</w:t>
            </w:r>
          </w:p>
        </w:tc>
        <w:tc>
          <w:tcPr>
            <w:tcW w:type="dxa" w:w="2880"/>
          </w:tcPr>
          <w:p>
            <w:r>
              <w:rPr>
                <w:b/>
                <w:sz w:val="20"/>
              </w:rPr>
              <w:t>Час відновлення</w:t>
            </w:r>
          </w:p>
        </w:tc>
      </w:tr>
      <w:tr>
        <w:tc>
          <w:tcPr>
            <w:tcW w:type="dxa" w:w="2880"/>
          </w:tcPr>
          <w:p>
            <w:r>
              <w:rPr>
                <w:sz w:val="20"/>
              </w:rPr>
              <w:t>Критичний (зупинка системи)</w:t>
            </w:r>
          </w:p>
        </w:tc>
        <w:tc>
          <w:tcPr>
            <w:tcW w:type="dxa" w:w="2880"/>
          </w:tcPr>
          <w:p>
            <w:r>
              <w:rPr>
                <w:sz w:val="20"/>
              </w:rPr>
              <w:t>до 1 год</w:t>
            </w:r>
          </w:p>
        </w:tc>
        <w:tc>
          <w:tcPr>
            <w:tcW w:type="dxa" w:w="2880"/>
          </w:tcPr>
          <w:p>
            <w:r>
              <w:rPr>
                <w:sz w:val="20"/>
              </w:rPr>
              <w:t>до 8 год</w:t>
            </w:r>
          </w:p>
        </w:tc>
      </w:tr>
      <w:tr>
        <w:tc>
          <w:tcPr>
            <w:tcW w:type="dxa" w:w="2880"/>
          </w:tcPr>
          <w:p>
            <w:r>
              <w:rPr>
                <w:sz w:val="20"/>
              </w:rPr>
              <w:t>Високий (порушення ключової функції)</w:t>
            </w:r>
          </w:p>
        </w:tc>
        <w:tc>
          <w:tcPr>
            <w:tcW w:type="dxa" w:w="2880"/>
          </w:tcPr>
          <w:p>
            <w:r>
              <w:rPr>
                <w:sz w:val="20"/>
              </w:rPr>
              <w:t>до 4 год</w:t>
            </w:r>
          </w:p>
        </w:tc>
        <w:tc>
          <w:tcPr>
            <w:tcW w:type="dxa" w:w="2880"/>
          </w:tcPr>
          <w:p>
            <w:r>
              <w:rPr>
                <w:sz w:val="20"/>
              </w:rPr>
              <w:t>до 24 год</w:t>
            </w:r>
          </w:p>
        </w:tc>
      </w:tr>
      <w:tr>
        <w:tc>
          <w:tcPr>
            <w:tcW w:type="dxa" w:w="2880"/>
          </w:tcPr>
          <w:p>
            <w:r>
              <w:rPr>
                <w:sz w:val="20"/>
              </w:rPr>
              <w:t>Звичайний</w:t>
            </w:r>
          </w:p>
        </w:tc>
        <w:tc>
          <w:tcPr>
            <w:tcW w:type="dxa" w:w="2880"/>
          </w:tcPr>
          <w:p>
            <w:r>
              <w:rPr>
                <w:sz w:val="20"/>
              </w:rPr>
              <w:t>до 1 роб. дня</w:t>
            </w:r>
          </w:p>
        </w:tc>
        <w:tc>
          <w:tcPr>
            <w:tcW w:type="dxa" w:w="2880"/>
          </w:tcPr>
          <w:p>
            <w:r>
              <w:rPr>
                <w:sz w:val="20"/>
              </w:rPr>
              <w:t>за планом релізів</w:t>
            </w:r>
          </w:p>
        </w:tc>
      </w:tr>
    </w:tbl>
    <w:p/>
    <w:p/>
    <w:p>
      <w:r>
        <w:t>Формат — річна передплата; орієнтовна вартість — окремою пропозицією після узгодження режиму (8×5 / 24×7).</w:t>
      </w:r>
    </w:p>
    <w:p/>
    <w:p/>
    <w:p>
      <w:pPr>
        <w:pStyle w:val="Heading2"/>
      </w:pPr>
      <w:r>
        <w:t>10. Горизонт розвитку: наступний крок після Продукту №1</w:t>
      </w:r>
    </w:p>
    <w:p/>
    <w:p>
      <w:r>
        <w:t>Цей розділ — не предмет цієї оферти і не зобов'язання сьогодні. Він фіксує перспективу, яка розкривається пізніше, коли Продукт №1 уже працюватиме у вас.</w:t>
      </w:r>
    </w:p>
    <w:p/>
    <w:p>
      <w:r>
        <w:t>Перспектива розвитку. Ви прийшли по конкретний інструмент — Продукт №1, — і ми робимо саме його, повноцінно й у власність. Ми ж бачимо ширше: коли Продукт №1 запрацює на ваших даних, відкривається наступний крок росту — звʼязати його з Продуктами №2 і №3 спільною шиною даних у єдиний контур з наскрізним сценарієм та спільним агентним моніторингом. І тоді кожен продукт розкривається ширше, ніж сам по собі: сигнал ризику з Продукту №1 стає контекстом для нагляду за ринком (№2) і вхідними даними для перерахунку втрат (№3). Три продукти, звʼязані разом, дають більше, ніж їх проста сума, — 1+1+1 &gt; 3.</w:t>
      </w:r>
    </w:p>
    <w:p/>
    <w:p>
      <w:r>
        <w:t>Консолідація усуває дублювання інтеграційних і інфраструктурних робіт, тож звʼязування всіх трьох продуктів у єдину платформу (умовно — Модель B) дає економію −25% (≈ $12,7 млн) — орієнтовно $38,4 млн замість $51,1 млн. Це винагорода за консолідацію, а не умова: економія досягається лише тоді, коли ви свідомо вирішите звести всі три продукти разом.</w:t>
      </w:r>
    </w:p>
    <w:p/>
    <w:p>
      <w:pPr>
        <w:ind w:left="454"/>
      </w:pPr>
      <w:r>
        <w:rPr>
          <w:i/>
        </w:rPr>
        <w:t>Важливо. Це перспектива, а не обов'язок і не зараз. Кожен продукт повноцінний сам по собі і не потребує платформи для роботи. Платформа може бути зібрана пізніше — у тому числі поверх уже придбаних окремих продуктів — як окремий проект з власним узгодженням. Сьогодні від вас не вимагається жодного рішення далі за Продукт №1; ширший горизонт відкриється тоді, коли ви самі захочете зробити наступний крок.</w:t>
      </w:r>
    </w:p>
    <w:p/>
    <w:p/>
    <w:p>
      <w:pPr>
        <w:pStyle w:val="Heading2"/>
      </w:pPr>
      <w:r>
        <w:t>11. Відповідальність, санкції та форс-мажор</w:t>
      </w:r>
    </w:p>
    <w:p/>
    <w:p>
      <w:pPr>
        <w:pStyle w:val="Heading3"/>
      </w:pPr>
      <w:r>
        <w:t>11.1. Штрафні санкції за зрив milestone</w:t>
      </w:r>
    </w:p>
    <w:p/>
    <w:p>
      <w:pPr>
        <w:pStyle w:val="ListBullet"/>
      </w:pPr>
      <w:r>
        <w:t>За прострочення приймання milestone з вини Виконавця — пеня 0.1% від вартості milestone за кожен день, але не більше 10% вартості milestone (конкретний відсоток — у договорі).</w:t>
      </w:r>
    </w:p>
    <w:p>
      <w:pPr>
        <w:pStyle w:val="ListBullet"/>
      </w:pPr>
      <w:r>
        <w:t>За критичне порушення строків Замовник має право на розірвання (п. 11.4) із поверненням невідпрацьованого авансу за банківською гарантією (п. 5.1).</w:t>
      </w:r>
    </w:p>
    <w:p/>
    <w:p>
      <w:pPr>
        <w:pStyle w:val="Heading3"/>
      </w:pPr>
      <w:r>
        <w:t>11.2. Межа відповідальності Виконавця (cap)</w:t>
      </w:r>
    </w:p>
    <w:p/>
    <w:p>
      <w:pPr>
        <w:pStyle w:val="ListBullet"/>
      </w:pPr>
      <w:r>
        <w:t>Сукупна відповідальність Виконавця обмежується сумою договору за відповідним продуктом (cap = 100% ціни продукту).</w:t>
      </w:r>
    </w:p>
    <w:p>
      <w:pPr>
        <w:pStyle w:val="ListBullet"/>
      </w:pPr>
      <w:r>
        <w:t>Виконавець не відповідає за непрямі збитки, упущену вигоду та збитки від обставин поза його контролем (зокрема прямі фізичні руйнування інфраструктури внаслідок бойових дій — пор. п. 4.1).</w:t>
      </w:r>
    </w:p>
    <w:p/>
    <w:p>
      <w:pPr>
        <w:pStyle w:val="Heading3"/>
      </w:pPr>
      <w:r>
        <w:t>11.3. Форс-мажор (воєнний стан)</w:t>
      </w:r>
    </w:p>
    <w:p/>
    <w:p>
      <w:pPr>
        <w:pStyle w:val="ListBullet"/>
      </w:pPr>
      <w:r>
        <w:t>Сторони звільняються від відповідальності за невиконання внаслідок обставин непереборної сили, зокрема активних бойових дій, ракетних/дронових ударів, оголошеного воєнного стану, мобілізації, знеструмлення та руйнування інфраструктури зв'язку.</w:t>
      </w:r>
    </w:p>
    <w:p>
      <w:pPr>
        <w:pStyle w:val="ListBullet"/>
      </w:pPr>
      <w:r>
        <w:t>Підтвердження — сертифікат ТПП України. На час форс-мажору строки milestone подовжуються; за тривалого форс-мажору сторони мають право на розірвання (п. 11.4).</w:t>
      </w:r>
    </w:p>
    <w:p/>
    <w:p>
      <w:pPr>
        <w:pStyle w:val="Heading3"/>
      </w:pPr>
      <w:r>
        <w:t>11.4. Порядок розірвання</w:t>
      </w:r>
    </w:p>
    <w:p/>
    <w:p>
      <w:pPr>
        <w:pStyle w:val="ListBullet"/>
      </w:pPr>
      <w:r>
        <w:t>Кожна сторона може розірвати договір у разі суттєвого порушення іншою стороною (письмове повідомлення + строк на усунення).</w:t>
      </w:r>
    </w:p>
    <w:p>
      <w:pPr>
        <w:pStyle w:val="ListBullet"/>
      </w:pPr>
      <w:r>
        <w:t>При розірванні з вини Виконавця — повернення невідпрацьованого авансу; з вини Замовника — оплата фактично прийнятих milestone.</w:t>
      </w:r>
    </w:p>
    <w:p>
      <w:pPr>
        <w:pStyle w:val="ListBullet"/>
      </w:pPr>
      <w:r>
        <w:t>Уже передані Замовнику код, дані та права (розділ 8) залишаються в нього незалежно від підстави розірвання.</w:t>
      </w:r>
    </w:p>
    <w:p/>
    <w:p>
      <w:pPr>
        <w:pStyle w:val="Heading3"/>
      </w:pPr>
      <w:r>
        <w:t>11.5. Вирішення спорів і підсудність</w:t>
      </w:r>
    </w:p>
    <w:p/>
    <w:p>
      <w:pPr>
        <w:pStyle w:val="ListBullet"/>
      </w:pPr>
      <w:r>
        <w:t>Спори вирішуються переговорами; у разі недосягнення згоди — у судовому порядку за законодавством України.</w:t>
      </w:r>
    </w:p>
    <w:p>
      <w:pPr>
        <w:pStyle w:val="ListBullet"/>
      </w:pPr>
      <w:r>
        <w:t>Підсудність — господарські суди України за місцезнаходженням Замовника (м. Київ), якщо інше не погоджено в договорі.</w:t>
      </w:r>
    </w:p>
    <w:p/>
    <w:p/>
    <w:p>
      <w:pPr>
        <w:pStyle w:val="Heading2"/>
      </w:pPr>
      <w:r>
        <w:t>12. Припущення, що впливають на ціну та ROI</w:t>
      </w:r>
    </w:p>
    <w:p/>
    <w:p>
      <w:r>
        <w:t>Ціна та ROI Продукту №1 дійсні за виконання наступних припущень; зміна будь-якого може потребувати перерахунку:</w:t>
      </w:r>
    </w:p>
    <w:p/>
    <w:p>
      <w:pPr>
        <w:pStyle w:val="ListBullet"/>
      </w:pPr>
      <w:r>
        <w:t>відведення 15% збитку через операційну стійкість — інженерне припущення, не виміряне, підлягає валідації на M1–M2 (п. 4.1);</w:t>
      </w:r>
    </w:p>
    <w:p>
      <w:pPr>
        <w:pStyle w:val="ListBullet"/>
      </w:pPr>
      <w:r>
        <w:t>Замовник надає доступ до джерел даних (SCADA/EMS) у строки за планом;</w:t>
      </w:r>
    </w:p>
    <w:p>
      <w:pPr>
        <w:pStyle w:val="ListBullet"/>
      </w:pPr>
      <w:r>
        <w:t>обладнання та інфраструктура (п. 2.3) забезпечуються Замовником;</w:t>
      </w:r>
    </w:p>
    <w:p>
      <w:pPr>
        <w:pStyle w:val="ListBullet"/>
      </w:pPr>
      <w:r>
        <w:t>перелік джерел даних та інтеграцій фіксується на M1; розширення поза ТЗ оформлюється окремо;</w:t>
      </w:r>
    </w:p>
    <w:p>
      <w:pPr>
        <w:pStyle w:val="ListBullet"/>
      </w:pPr>
      <w:r>
        <w:t>курс грн/USD — НБУ на дату рахунку (довідково 42 грн/$).</w:t>
      </w:r>
    </w:p>
    <w:p/>
    <w:p/>
    <w:p>
      <w:pPr>
        <w:pStyle w:val="Heading2"/>
      </w:pPr>
      <w:r>
        <w:t>13. Виконавець (спроможність та модель зниження ризику)</w:t>
      </w:r>
    </w:p>
    <w:p/>
    <w:p>
      <w:pPr>
        <w:pStyle w:val="Heading3"/>
      </w:pPr>
      <w:r>
        <w:t>13.1. Що доведено демонстрацією</w:t>
      </w:r>
    </w:p>
    <w:p/>
    <w:p>
      <w:pPr>
        <w:pStyle w:val="ListBullet"/>
      </w:pPr>
      <w:r>
        <w:t>Готове робоче демо Продукту №1 (https://ukrenergo-portal.radai-1984.dev) — діючий функціонал, агентний контур 24/7;</w:t>
      </w:r>
    </w:p>
    <w:p>
      <w:pPr>
        <w:pStyle w:val="ListBullet"/>
      </w:pPr>
      <w:r>
        <w:t>Готові Додатки: ТЗ за ГОСТ 34.602; кошторис (Annex B); обґрунтування вартості (Annex C).</w:t>
      </w:r>
    </w:p>
    <w:p/>
    <w:p>
      <w:r>
        <w:t>Це доводить глибоке розуміння предмета, архітектури та регуляторної рамки і готовність ТЗ до контрактування.</w:t>
      </w:r>
    </w:p>
    <w:p/>
    <w:p>
      <w:pPr>
        <w:pStyle w:val="Heading3"/>
      </w:pPr>
      <w:r>
        <w:t>13.2. Чесне позиціонування спроможності</w:t>
      </w:r>
    </w:p>
    <w:p/>
    <w:p>
      <w:r>
        <w:t>Демо і Додатки не є доказом досвіду промислового впровадження на критичній інфраструктурі рівня ОСП. У договір включається розкриття (умова підписання): склад і кваліфікація ключової команди, релевантний досвід, партнери/субпідрядники з track record в енергетиці (за наявності), фінансова спроможність, страхування професійної відповідальності під cap розділу 11.</w:t>
      </w:r>
    </w:p>
    <w:p/>
    <w:p>
      <w:pPr>
        <w:ind w:left="454"/>
      </w:pPr>
      <w:r>
        <w:rPr>
          <w:i/>
        </w:rPr>
        <w:t>Рекомендований вхід — через MVP/пілот з обмеженим ризиком. Замість контракту на повну версію одразу, Виконавець рекомендує почати з MVP Продукту №1 ($10,8 млн) або з працюючої моделі на обмеженому контурі даних до milestone M2. Це дає Замовнику перевірити спроможність команди на власних даних до повних зобов'язань, із зарахуванням сплаченої вартості MVP у Повну версію. Така модель прямо знімає ризик «велика передоплата неперевіреному підряднику».</w:t>
      </w:r>
    </w:p>
    <w:p/>
    <w:p/>
    <w:p>
      <w:pPr>
        <w:pStyle w:val="Heading2"/>
      </w:pPr>
      <w:r>
        <w:t>14. Контекст рішення</w:t>
      </w:r>
    </w:p>
    <w:p/>
    <w:p>
      <w:pPr>
        <w:pStyle w:val="ListBullet"/>
      </w:pPr>
      <w:r>
        <w:t>Прямі збитки сектору передачі: $2.1 млрд (KSE);</w:t>
      </w:r>
    </w:p>
    <w:p>
      <w:pPr>
        <w:pStyle w:val="ListBullet"/>
      </w:pPr>
      <w:r>
        <w:t>Чистий збиток Укренерго за 2024 рік: 37.7 млрд грн;</w:t>
      </w:r>
    </w:p>
    <w:p>
      <w:pPr>
        <w:pStyle w:val="ListBullet"/>
      </w:pPr>
      <w:r>
        <w:t>Інвестиційна програма: ~4.36 млрд грн/рік;</w:t>
      </w:r>
    </w:p>
    <w:p>
      <w:pPr>
        <w:pStyle w:val="ListBullet"/>
      </w:pPr>
      <w:r>
        <w:t>Синхронізація з ENTSO-E: 16.03.2022; повне членство: 14.12.2023;</w:t>
      </w:r>
    </w:p>
    <w:p>
      <w:pPr>
        <w:pStyle w:val="ListBullet"/>
      </w:pPr>
      <w:r>
        <w:t>Угода Catalogue of Measures (28.06.2017), категорії: Protection and Dynamic Stability; Operations and Markets; Legal and Regulatory; IT including Cybersecurity.</w:t>
      </w:r>
    </w:p>
    <w:p/>
    <w:p>
      <w:r>
        <w:t>Продукт №1 прямо адресує категорії Protection and Dynamic Stability та Operations and Markets.</w:t>
      </w:r>
    </w:p>
    <w:p/>
    <w:p/>
    <w:p>
      <w:pPr>
        <w:pStyle w:val="Heading2"/>
      </w:pPr>
      <w:r>
        <w:t>15. Додатки (Annexes)</w:t>
      </w:r>
    </w:p>
    <w:p/>
    <w:p>
      <w:pPr>
        <w:pStyle w:val="ListBullet"/>
      </w:pPr>
      <w:r>
        <w:t>Annex A. Технічне завдання Продукту №1 (ГОСТ 34.602); за запитом — ТЗ Продуктів №2 і №3</w:t>
      </w:r>
    </w:p>
    <w:p>
      <w:pPr>
        <w:pStyle w:val="ListBullet"/>
      </w:pPr>
      <w:r>
        <w:t>Annex B. Кошторис (детальна структура трудовитрат і собівартості)</w:t>
      </w:r>
    </w:p>
    <w:p>
      <w:pPr>
        <w:pStyle w:val="ListBullet"/>
      </w:pPr>
      <w:r>
        <w:t>Annex C. Обґрунтування вартості (ринкові якорі, розклад множника ×3.732 — п. 3.1)</w:t>
      </w:r>
    </w:p>
    <w:p/>
    <w:p/>
    <w:p>
      <w:r>
        <w:t>*Документ є офертою у розумінні ст. 641 ЦК України. Акцепт здійснюється підписанням договору на викладених умовах протягом строку дії оферти (90 днів).*</w:t>
      </w:r>
    </w:p>
    <w:p/>
    <w:p>
      <w:r>
        <w:t>Виконавець: _________________________ Дата: __________</w:t>
      </w:r>
    </w:p>
    <w:p/>
    <w:p>
      <w:r>
        <w:t>Файл відредаговано: D:\ВС коде вайбкодинг\Укренерго\deliverables\_research\content_commercial.md</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40"/>
      <w:ind w:firstLine="709"/>
      <w:jc w:val="both"/>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ind w:firstLine="0"/>
      <w:outlineLvl w:val="0"/>
    </w:pPr>
    <w:rPr>
      <w:rFonts w:asciiTheme="majorHAnsi" w:eastAsiaTheme="majorEastAsia" w:hAnsiTheme="majorHAnsi" w:cstheme="majorBidi" w:ascii="Times New Roman" w:hAnsi="Times New Roman"/>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ind w:firstLine="0"/>
      <w:outlineLvl w:val="1"/>
    </w:pPr>
    <w:rPr>
      <w:rFonts w:asciiTheme="majorHAnsi" w:eastAsiaTheme="majorEastAsia" w:hAnsiTheme="majorHAnsi" w:cstheme="majorBidi" w:ascii="Times New Roman" w:hAnsi="Times New Roman"/>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ind w:firstLine="0"/>
      <w:outlineLvl w:val="2"/>
    </w:pPr>
    <w:rPr>
      <w:rFonts w:asciiTheme="majorHAnsi" w:eastAsiaTheme="majorEastAsia" w:hAnsiTheme="majorHAnsi" w:cstheme="majorBidi" w:ascii="Times New Roman" w:hAnsi="Times New Roman"/>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