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МАТРИЦЯ ВІДПОВІДНОСТІ ВИМОГАМ</w:t>
      </w:r>
    </w:p>
    <w:p/>
    <w:p/>
    <w:p>
      <w:pPr>
        <w:jc w:val="center"/>
      </w:pPr>
      <w:r>
        <w:rPr>
          <w:sz w:val="22"/>
        </w:rPr>
        <w:t>Позначення документа: UE-3PROD.CM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Попередній self-assessment відповідності (робочий шаблон)</w:t>
      </w:r>
    </w:p>
    <w:p/>
    <w:p>
      <w:pPr>
        <w:ind w:left="454"/>
      </w:pPr>
      <w:r>
        <w:rPr>
          <w:i/>
        </w:rPr>
        <w:t>Статус документа. Це попередній самооцінний шаблон (self-assessment), а не формальна Матриця відповідності (Compliance Matrix). Тендерна документація (ТД) замовника на момент підготовки відсутня, тому матриця складена проти типового набору вимог держоператора критичної інфраструктури, а не проти реальних пунктів ТД. До оприлюднення ТД документ не подається у Prozorro у вигляді Compliance Matrix і не претендує на відповідність «пункт ТД → відповідь» 1:1. Усі статуси нижче — заявлені (self-declared); колонка «Спосіб підтвердження» показує, чим саме статус підтверджується сьогодні та що ще потрібно для незалежної верифікації.</w:t>
      </w:r>
    </w:p>
    <w:p/>
    <w:p>
      <w:r>
        <w:t>Замовник: ПрАТ «НЕК «УКРЕНЕРГО», ЄДРПОУ 00100227, 01032, м. Київ, вул. Симона Петлюри, 25</w:t>
      </w:r>
    </w:p>
    <w:p>
      <w:r>
        <w:t>Предмет: Три самостійні продукти: A1 — Система управління ризиками безпеки та прогнозування загроз; A2 — Система виявлення зловживань на енергоринку; A3 — Прогноз технологічних втрат передачі. Опціонально: платформа інтеграції (−25% консолідація).</w:t>
      </w:r>
    </w:p>
    <w:p>
      <w:r>
        <w:t>Документ: Попередній self-assessment відповідності типовим вимогам (робочий шаблон до появи ТД)</w:t>
      </w:r>
    </w:p>
    <w:p>
      <w:r>
        <w:t>Адресат: Тендерний комітет / уповноважена особа з публічних закупівель</w:t>
      </w:r>
    </w:p>
    <w:p/>
    <w:p/>
    <w:p>
      <w:pPr>
        <w:pStyle w:val="Heading2"/>
      </w:pPr>
      <w:r>
        <w:t>0. Постачальник: юридична особа, допуски, спроможність (кваліфікаційний блок)</w:t>
      </w:r>
    </w:p>
    <w:p/>
    <w:p>
      <w:pPr>
        <w:ind w:left="454"/>
      </w:pPr>
      <w:r>
        <w:rPr>
          <w:i/>
        </w:rPr>
        <w:t>Цей розділ винесено наперед, тому що на тендері КІ кваліфікаційний етап передує технічній оцінці. Якщо постачальник не проходить кваліфікацію — технічна матриця не розглядається. Нижче — чесний поточний стан, без приховування прогалин.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 кваліфікації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Поточний стан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Що потрібно ДО подачі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Юридична особа-постачальник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Підлягає уточненню/розкриттю. У цьому пакеті юр.особа-учасник торгів формально не зафіксована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Вказати найменування, ЄДРПОУ, форму власності учасника (або консорціуму/субпідрядної моделі)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Ліцензія/дозволи ДССЗЗІ (роботи з КСЗІ, ТЗІ на об'єктах КІ)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Відсутні у пакеті / не підтверджено. Це потенційний блокер допуску, а не предмет «дороблення після перемоги»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Отримати/залучити ліцензованого партнера ДССЗЗІ; додати копії ліцензій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Релевантний досвід з ОСП/енергетикою/КІ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Частково. Annex G декларує досвід; прямих референсів масштабу магістрального ОСП у пакеті немає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Додати завершені проєкти зі схожим скоупом/масштабом, листи-відгуки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Фінансова спроможність на контракт $38–51М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Не підтверджено у пакеті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Фінзвітність, банківська/тендерна гарантія, обіговість під контракт відповідного розміру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Конфлікт інтересів / інфраструктура демо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Демостенд розгорнуто на домені `radai-1984.dev` (інфраструктура розробника), не на середовищі замовника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Розкрити власника інфраструктури; для бойового контуру — розгортання в контурі замовника (S-03)</w:t>
            </w:r>
          </w:p>
        </w:tc>
      </w:tr>
    </w:tbl>
    <w:p/>
    <w:p/>
    <w:p>
      <w:pPr>
        <w:ind w:left="454"/>
      </w:pPr>
      <w:r>
        <w:rPr>
          <w:i/>
        </w:rPr>
        <w:t>Висновок блоку. Декілька кваліфікаційних позицій (ліцензії ДССЗЗІ, атестат КСЗІ цільового середовища, формальні референси) є бар'єрами на вхід. Поки вони не закриті документально — це відкритий ризик дискваліфікації, який ми називаємо прямо, а не ховаємо у статус «Частково».</w:t>
      </w:r>
    </w:p>
    <w:p/>
    <w:p/>
    <w:p>
      <w:pPr>
        <w:pStyle w:val="Heading2"/>
      </w:pPr>
      <w:r>
        <w:t>1. Призначення документа</w:t>
      </w:r>
    </w:p>
    <w:p/>
    <w:p>
      <w:r>
        <w:t>Документ співвідносить кожну типову вимогу до постачальника та рішення для критичної інфраструктури передачі електроенергії з конкретним розділом нашого пакета пропозиції. Для кожної вимоги вказано:</w:t>
      </w:r>
    </w:p>
    <w:p/>
    <w:p>
      <w:pPr>
        <w:pStyle w:val="ListBullet"/>
      </w:pPr>
      <w:r>
        <w:t>Заявлений статус — самооцінка постачальника за шкалою нижче (це декларація, а не зовнішня верифікація);</w:t>
      </w:r>
    </w:p>
    <w:p>
      <w:pPr>
        <w:pStyle w:val="ListBullet"/>
      </w:pPr>
      <w:r>
        <w:t>Де закрито — конкретний Annex або розділ пропозиції;</w:t>
      </w:r>
    </w:p>
    <w:p>
      <w:pPr>
        <w:pStyle w:val="ListBullet"/>
      </w:pPr>
      <w:r>
        <w:t>Спосіб підтвердження — об'єктивний артефакт, яким статус підтверджується сьогодні (документ / тест / атестат / демо), і чого ще бракує для незалежної верифікації;</w:t>
      </w:r>
    </w:p>
    <w:p>
      <w:pPr>
        <w:pStyle w:val="ListBullet"/>
      </w:pPr>
      <w:r>
        <w:t>Коментар — обмеження або умови.</w:t>
      </w:r>
    </w:p>
    <w:p/>
    <w:p>
      <w:pPr>
        <w:pStyle w:val="Heading3"/>
      </w:pPr>
      <w:r>
        <w:t>Шкала заявлених статусів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Позначка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Значення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Вимога закрита наявним пакетом; є об'єктивний артефакт-пруф, придатний до зовнішньої перевірки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Закрито частково; залишок реалізується в межах робіт за договором або потребує доступів/даних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Не закрито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Вимога наразі не закрита наявним пакетом (зокрема кваліфікаційні бар'єри, які треба закрити ДО подачі)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На Етапі-2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Свідомо віднесено до повної версії (Stage 2) після MVP; у MVP не входить за обсягом</w:t>
            </w:r>
          </w:p>
        </w:tc>
      </w:tr>
    </w:tbl>
    <w:p/>
    <w:p/>
    <w:p>
      <w:pPr>
        <w:ind w:left="454"/>
      </w:pPr>
      <w:r>
        <w:rPr>
          <w:i/>
        </w:rPr>
        <w:t>Важливо про підтвердження. Жоден «Виконано» не означає «незалежно атестовано». Зовнішнього верифікатора статусів немає — це самооцінка. Колонка «Спосіб підтвердження» розрізняє: (а) є реальний артефакт (ТЗ/код/тест), (б) є лише демо-концепт, (в) підтвердження можливе тільки на середовищі/даних замовника.</w:t>
      </w:r>
    </w:p>
    <w:p/>
    <w:p>
      <w:pPr>
        <w:ind w:left="454"/>
      </w:pPr>
      <w:r>
        <w:rPr>
          <w:i/>
        </w:rPr>
        <w:t>Про демостенд. Демостенд (Annex M) — це демонстрація концепції на синтетичних/публічних даних на інфраструктурі розробника. Він не є доказом виконання вимоги промислового масштабу/реального часу на даних SCADA/ENTSO-E. Тому демо не підвищує статус до «Виконано» там, де вимога стосується реальних даних, точності моделі чи продуктивності — у таких рядках статус не вищий за «Частково» з явною позначкою «демо-концепт».</w:t>
      </w:r>
    </w:p>
    <w:p/>
    <w:p/>
    <w:p>
      <w:pPr>
        <w:pStyle w:val="Heading2"/>
      </w:pPr>
      <w:r>
        <w:t>2. Реєстр Annexes (документи пакета)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Код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Документ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Стандарт/основа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A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Супровідний лист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B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Executive Summary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C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Огляд рішення (Solution Overview)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Комерційна пропозиція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Розрахунок ROI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F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Безпека рішення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КСЗІ / НД ТЗІ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Досвід та референси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H1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ТЗ A1 — двійник мережі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ISO/IEC/IEEE 29148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H2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ТЗ A2 — нагляд ринку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ISO/IEC/IEEE 29148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H3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ТЗ A3 — управління втратами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ISO/IEC/IEEE 29148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H4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ТЗ Платформа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ISO/IEC/IEEE 29148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I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Кошторис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J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Обґрунтування вартості (70 джерел)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K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Запит даних (Data Request)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Технічна концепція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M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Демонстраційний стенд (демо-концепт, синтетичні дані)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https://ukrenergo.radai-1984.dev</w:t>
            </w:r>
          </w:p>
        </w:tc>
      </w:tr>
    </w:tbl>
    <w:p/>
    <w:p/>
    <w:p/>
    <w:p>
      <w:pPr>
        <w:pStyle w:val="Heading2"/>
      </w:pPr>
      <w:r>
        <w:t>3. Технічні вимоги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Вимога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Де закрито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Заявлений статус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Спосіб підтвердження (сьогодні / чого бракує)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Цифровий двійник магістральної мережі (топологія, режими, сценарне моделювання)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H1, Annex L, Annex 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ТЗ (Annex H1) + демо-концепт (Annex M) на синтетиці. Бракує: валідація точності моделі на реальній топології/режимах замовника, метрики похибки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«Виконано» неможливе без реальних даних; демо доводить концепцію, не промислову вимогу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Інтелектуальний нагляд за ринком / поведінкою (виявлення аномалій, патернів)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H2, Annex L, Annex 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ТЗ + демо-концепт на синтетиці. Бракує: прогін на реальних ринкових даних, метрики precision/recall детекції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Алгоритмічна концепція показана; промислова якість не підтверджена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Аналітика та управління технічними/комерційними втратами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H3, Annex E, Annex 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ТЗ + модель ROI. Бракує: валідація на фактичних даних втрат замовника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Оцінка ефекту 190 млн грн/рік — модельна, не виміряна на даних замовника (див. §8 застереження)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Інтеграція зі SCADA/EMS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H1, Annex H4, Annex K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архітектура інтеграції у ТЗ. Бракує: доступ до тегів/протоколів (Annex K), тест на реальному середовищі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Обсяг адаптерів залежить від доступу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Інтеграція з ENTSO-E (обмін даними, прозорість, ринкові інтерфейси)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H2, Annex H4,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проєкт інтерфейсів. Бракує: облікові дані/середовище ENTSO-E, продуктивний обмін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Спроєктовано, не запущено в проді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Розрахунок та контроль транскордонної пропускної здатності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H1,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На Етапі-2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концепція драйвера ємності у ТЗ/концепції. Бракує: повна реалізація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Контекст +500 МВт (1200→1700 МВт, рішення ENTSO-E від 28.11.2023) — як бізнес-драйвер, не як виконана функція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T-07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Наскрізний сценарій взаємодії трьох продуктів (A1↔A2↔A3)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C, Annex 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працюючий демо-сценарій на стенді (демо-концепт). Бракує: те саме на реальних даних/масштабі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Демонструє концепцію інтеграції; не доводить промислову вимогу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T-08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Автономний агентний контур моніторингу 24/7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C, Annex 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працює на демостенді (синтетика, демо-концепт). Бракує: SLA доступності, навантажувальне тестування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Демо-концепт; промислова безперервність не атестована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T-09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Масштабованість / продуктивність на режимах реального часу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H4,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цільові показники у ТЗ платформи. Бракує: навантажувальні (НТ) випробування, заміри latency/обсягу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Підтвердження НТ — на приймальних випробуваннях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T-10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Етапність впровадження (MVP → повна версія)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D, Annex H1–H4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розписані строки у Annex D/H (перевірний документ-артефакт)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A1: MVP 6 / повна 14 міс; A2: 4 / 10; A3: 3 / 8. Платформа: 9 / 18 міс — опціональний горизонт (Модель B), планується ПІСЛЯ MVP A1, послідовно (не паралельно з продуктами)</w:t>
            </w:r>
          </w:p>
        </w:tc>
      </w:tr>
    </w:tbl>
    <w:p/>
    <w:p/>
    <w:p/>
    <w:p>
      <w:pPr>
        <w:pStyle w:val="Heading2"/>
      </w:pPr>
      <w:r>
        <w:t>4. Безпекові вимоги</w:t>
      </w:r>
    </w:p>
    <w:p/>
    <w:p>
      <w:pPr>
        <w:ind w:left="454"/>
      </w:pPr>
      <w:r>
        <w:rPr>
          <w:i/>
        </w:rPr>
        <w:t>Кваліфікаційне застереження. S-01 (атестат КСЗІ) і S-02 (НД ТЗІ) для об'єкта КІ часто є умовою допуску до торгів, а не предметом «дороблення після перемоги». Без ліцензії ДССЗЗІ та плану атестації, узгодженого ДО подачі, ці позиції — бар'єри на вхід (див. §0).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Вимога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Де закрито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Заявлений статус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Спосіб підтвердження (сьогодні / чого бракує)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S-01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Комплексна система захисту інформації (КСЗІ)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F, Annex H4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 *(кваліфікаційний бар'єр)*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проєктна архітектура під КСЗІ. Бракує: атестат КСЗІ цільового середовища + ліцензія ДССЗЗІ виконавця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Атестація можлива лише на середовищі замовника; план і ліцензований виконавець потрібні ДО подачі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S-02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Відповідність НД ТЗІ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 *(кваліфікаційний бар'єр)*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проєктні рішення під НД ТЗІ. Бракує: формальна експертиза уповноваженого органу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Без узгодженого плану експертизи — ризик допуску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S-03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Суверенність даних (зберігання та обробка в межах України)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архітектурне рішення (контур замовника / укр.юрисдикція). Бракує: підтвердження на бойовому розгортанні (демо — на інфраструктурі розробника)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Поточне демо НЕ в контурі замовника; «Виконано» — лише після цільового розгортання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S-04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Стійкість до кіберзагроз (з урахуванням інцидентів проти ОСП)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 *(критично для КІ)*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профіль загроз у Annex F. Бракує: повний набір контролів, пентест, відповідність вимогам замовника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Повний набір контролів — Stage 2; для КІ це high-priority залишок, не косметика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S-05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Кібербезпека згідно категорії «IT including Cybersecurity» Catalogue of Measures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відображення 4-ї категорії Каталогу у Annex F (документ). Бракує: зовнішнє підтвердження покриття контролів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Раніше заявлялось «Повністю» — понижено: самозіставлення з каталогом не є атестацією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S-06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Розмежування доступу, аудит дій, журналювання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F, Annex H4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RBAC та журналювання у ТЗ. Бракує: реалізація + налаштування під політики замовника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Глибина — за політиками замовника</w:t>
            </w:r>
          </w:p>
        </w:tc>
      </w:tr>
    </w:tbl>
    <w:p/>
    <w:p/>
    <w:p/>
    <w:p>
      <w:pPr>
        <w:pStyle w:val="Heading2"/>
      </w:pPr>
      <w:r>
        <w:t>5. Комерційні вимоги</w:t>
      </w:r>
    </w:p>
    <w:p/>
    <w:p>
      <w:pPr>
        <w:ind w:left="454"/>
      </w:pPr>
      <w:r>
        <w:rPr>
          <w:i/>
        </w:rPr>
        <w:t>Узгодження цифр (усунення внутрішніх суперечностей). Нижче всі суми зведено в один розрахунок. Модель A $51.1М = сума вартостей трьох продуктів A1 $26.9М + A2 $15.1М + A3 $9.1М = $51.1М, де вартість платформи (Annex H4) НЕ є окремим рядком, а розподілена всередині продуктів (спільні компоненти інтеграції/контуру входять у бюджети A1/A2/A3). Окремий «платформний» бюджет 9/18 міс — це строки/обсяг робіт, а не додаткова сума понад $51.1М. Модель B (платформа) $38.4М — це та сама поставка з консолідацією спільних компонентів і знижкою −25% за рахунок усунення дублювання, а не інший скоуп. Курс 42 грн/$.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Вимога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Де закрито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Заявлений статус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Спосіб підтвердження (сьогодні / чого бракує)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Прозоре ціноутворення з обґрунтуванням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D, Annex I, Annex J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кошторис + обґрунтування на 70 джерелах. Бракує: незалежна верифікація множника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Множник x3.732 = overhead x2.75 × clearance x1.18 × воєнний x1.15. «Нижня планка» = мінімальні значення діапазонів кожного коефіцієнта з Annex J (база — нижні межі ринкових ставок, не середні)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Передача коду / прав замовнику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D, Annex H4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декларація у Annex D. Бракує: формулювання у проєкті договору, узгоджене юристами замовника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Повна передача продукту та вихідного коду у власність Замовника без техзалежності від Розробника. Авторські права, методологія та ноу-хау залишаються за Розробником (для розвитку нових продуктів). Розробник не несе обов'язків щодо постійного супроводу/техпідтримки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Гарантійні зобов'язання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заявлена гарантія. Бракує: строки/обсяг у договорі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Фіналізується у проєкті договору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Рівень обслуговування (SLA)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D, Annex H4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 *(критично)*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базові SLA. Бракує: цільові метрики, узгоджені під регламент замовника, з penalty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Для КІ SLA — суттєвий, не закритий повністю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Вартість та структура за продуктами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D, Annex 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розбивка-артефакт у Annex D/I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A1 $26.9М (MVP $10.8М); A2 $15.1М (MVP $6.0М); A3 $9.1М (MVP $3.7М). Сума = $51.1М (= Модель A)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Варіанти контрактування (роздільно / платформа)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D, Annex E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дві моделі-артефакти у Annex D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Модель A (роздільно) $51.1М; Модель B (платформа, −25%) $38.4М. Вартість платформи сидить усередині $51.1М (див. застереження вище), не понад нього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C-07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Економічна доцільність (ROI/окупність)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E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модель ROI. Бракує: валідація вхідних на даних замовника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A1 ~1.9 р (600 млн грн/рік); A3 ~2.0 р (190 млн грн/рік) — ROI-driven. A2 ~4.7 р (134 млн грн/рік) — слабкий прямий ROI; A2 обґрунтовується як комплаєнс-driven (REMIT), а не окупністю — це знімає суперечність із R-02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C-08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Зіставність ціни з ринковими аналогами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J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набір якорів. Бракує: нормування на МВт/підстанції/функціонал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Див. перероблений блок якорів нижче</w:t>
            </w:r>
          </w:p>
        </w:tc>
      </w:tr>
    </w:tbl>
    <w:p/>
    <w:p/>
    <w:p>
      <w:pPr>
        <w:pStyle w:val="Heading3"/>
      </w:pPr>
      <w:r>
        <w:t>C-08. Зіставні аналоги (перероблено: без cherry-picking)</w:t>
      </w:r>
    </w:p>
    <w:p/>
    <w:p>
      <w:pPr>
        <w:ind w:left="454"/>
      </w:pPr>
      <w:r>
        <w:rPr>
          <w:i/>
        </w:rPr>
        <w:t>Принцип. Беремо аналоги зіставного класу (ОСП/SCADA-EMS/ринковий нагляд схожого скоупу), нормуємо на масштаб і функціонал. Контракти Palantir Foundry в США (USDA $300М, CDC $443М) — інший клас, інша країна, інший продукт; вони наводяться лише як верхня референсна межа платформ-аналітики, а не як обґрунтування нашої ціни, і не усереднюються з рештою.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Аналог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Скоуп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Сума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Зіставність із нашими $51.1М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Siemens SCADA/EMS (PSE, Польща)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EMS/SCADA магістрального ОСП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~$20М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Найближчий за класом (ОСП ЄС); ми ширші за рахунок 3 продуктів + двійник + ринковий нагляд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EBRD EMS+SCADA (Боснія)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EMS/SCADA меншого ОСП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~€8.5М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Менший масштаб мережі та вужчий скоуп → природно дешевше; не прямий аналог нашого обсягу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Nasdaq SMARTS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Ринковий нагляд/детекція зловживань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~$77М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Аналог лише для A2; показує, що ринковий нагляд сам по собі коштує дорого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*(довідково, інший клас)* USDA Foundry / CDC Foundry (США)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Платформа-аналітика загального призначення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$300М / $443М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Не використовується для обґрунтування ціни; лише ілюструє верхню межу платформ-аналітики</w:t>
            </w:r>
          </w:p>
        </w:tc>
      </w:tr>
    </w:tbl>
    <w:p/>
    <w:p/>
    <w:p>
      <w:pPr>
        <w:ind w:left="454"/>
      </w:pPr>
      <w:r>
        <w:rPr>
          <w:i/>
        </w:rPr>
        <w:t>Висновок C-08. Зіставні аналоги ($20М Siemens, €8.5М EBRD, $77М Nasdaq для A2) розташовують наш пакет ($51.1М за три продукти + двійник + платформа) у логічному діапазоні: дорожче за вузький EMS меншого ОСП, дешевше за суму окремих рішень кожного класу. Foundry-контракти навмисно винесені «за дужки», щоб уникнути викривлення.</w:t>
      </w:r>
    </w:p>
    <w:p/>
    <w:p/>
    <w:p>
      <w:pPr>
        <w:pStyle w:val="Heading2"/>
      </w:pPr>
      <w:r>
        <w:t>6. Регуляторні вимоги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Вимога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Де закрито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Заявлений статус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Спосіб підтвердження (сьогодні / чого бракує)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Відповідність ENTSO-E Catalogue of Measures (28.06.2017)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самозіставлення з 4 категоріями. Бракує: спільне регуляторне підтвердження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Самозіставлення ≠ атестація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R-01.1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Категорія 1: Protection and Dynamic Stability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H1,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моделювання режимів (A1, концепт). Бракує: валідація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R-01.2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Категорія 2: Operations and Markets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H2, Annex H1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A2 + A1 у ТЗ. Бракує: підтвердження на даних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Понижено з «Повністю»: без даних не верифіковано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R-01.3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Категорія 3: Legal and Regulatory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F, Annex D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супутні документи. Бракує: юридичний аудит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R-01.4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Категорія 4: IT including Cybersecurity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F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безпековий пакет (див. S-05). Бракує: зовнішнє підтвердження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Узгоджено зі статусом S-05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Відповідність REMIT (моніторинг ринку, виявлення зловживань)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H2, Annex E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A2 спроєктовано під REMIT. Бракує: реальні дані + регуляторне підтвердження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Комплаєнс REMIT — основний драйвер цінності A2 (прямий ROI слабкий, ~4.7 р) — узгоджено з C-07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Урахування синхронізації / членства в ENTSO-E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L, Annex C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контекст у документах (факти-артефакти)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Синхронізація 16.03.2022; членство 14.12.2023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R-04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Підтримка нарощування транскордонної ємності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E, Annex L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На Етапі-2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концепція. Бракує: реалізація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Драйвер +500 МВт (рішення 28.11.2023); Stage 2</w:t>
            </w:r>
          </w:p>
        </w:tc>
      </w:tr>
    </w:tbl>
    <w:p/>
    <w:p/>
    <w:p/>
    <w:p>
      <w:pPr>
        <w:pStyle w:val="Heading2"/>
      </w:pPr>
      <w:r>
        <w:t>7. Процедурні вимоги (Prozorro)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Вимога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Де закрито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Заявлений статус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Спосіб підтвердження (сьогодні / чого бракує)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P-01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Сумісність із процедурою Prozorro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A, Annex D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структура пакета. Бракує: форми під оголошену процедуру (немає ТД)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До появи ТД у Prozorro не подається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P-02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Повнота тендерної пропозиції (комплектність документів)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A–M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профільні документи (розділ 2). Бракує: кваліфікаційні документи (§0)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Комплектність технічна є; кваліфікаційна — ні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P-03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Технічні специфікації за визнаним стандартом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H1–H4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4 ТЗ за ISO/IEC/IEEE 29148 (документи-артефакти)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P-04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Обґрунтування очікуваної вартості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I, Annex J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кошторис + 70 джерел. Бракує: незалежна верифікація (див. C-01, C-08)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P-05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Підтвердження кваліфікації/досвіду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G, Annex M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Не закрито *(кваліфікаційний бар'єр)*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декларація досвіду + демо. Бракує: формальні референси масштабу ОСП, ліцензії, фінспроможність (§0)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Демо ≠ кваліфікаційний документ; це відкритий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P-06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Запит/уточнення вихідних даних замовника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Annex K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Є: структурований Data Request (документ-артефакт)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</w:tr>
    </w:tbl>
    <w:p/>
    <w:p/>
    <w:p/>
    <w:p>
      <w:pPr>
        <w:pStyle w:val="Heading2"/>
      </w:pPr>
      <w:r>
        <w:t>8. Зведення за статусами (самооцінка)</w:t>
      </w:r>
    </w:p>
    <w:p/>
    <w:p>
      <w:pPr>
        <w:ind w:left="454"/>
      </w:pPr>
      <w:r>
        <w:rPr>
          <w:i/>
        </w:rPr>
        <w:t>Це самооцінка без зовнішньої верифікації. Наявність статусів «Не закрито» — свідома; їх відсутність у попередній версії була ознакою «матриці самозаліку».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Категорія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Виконано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Частково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Не закрито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 Етапі-2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Усього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Технічні (T)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10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Безпекові (S)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Комерційні (C)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8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Регуляторні (R)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9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Процедурні (P)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Разом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28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39</w:t>
            </w:r>
          </w:p>
        </w:tc>
      </w:tr>
    </w:tbl>
    <w:p/>
    <w:p/>
    <w:p>
      <w:pPr>
        <w:ind w:left="454"/>
      </w:pPr>
      <w:r>
        <w:rPr>
          <w:i/>
        </w:rPr>
        <w:t>Інтерпретація (чесна). Більшість вимог — Частково: пакет містить ТЗ, концепцію та демо-концепт, але промислове виконання, валідація на реальних даних і атестації відсутні і виконуються в межах договору або потребують доступів/даних (Annex K) та середовища замовника. P-05 «Не закрито» — кваліфікаційний блокер (референси/ліцензії/фінспроможність). Безпекові S-01/S-02 та частина регуляторних — бар'єри на вхід для КІ, які треба закрити ДО подачі (§0). «На Етапі-2» — поза обсягом MVP.</w:t>
      </w:r>
    </w:p>
    <w:p/>
    <w:p/>
    <w:p>
      <w:pPr>
        <w:pStyle w:val="Heading2"/>
      </w:pPr>
      <w:r>
        <w:t>9. Доказовість і контекст потреби</w:t>
      </w:r>
    </w:p>
    <w:p/>
    <w:p>
      <w:pPr>
        <w:pStyle w:val="Heading3"/>
      </w:pPr>
      <w:r>
        <w:t>9.1 Що демо доводить, а що — ні</w:t>
      </w:r>
    </w:p>
    <w:p/>
    <w:p>
      <w:pPr>
        <w:pStyle w:val="ListBullet"/>
      </w:pPr>
      <w:r>
        <w:t>Демостенд (Annex M, https://ukrenergo.radai-1984.dev): демонструє концепцію трьох продуктів, наскрізний сценарій A1↔A2↔A3 та агентний контур 24/7 на синтетичних/публічних даних, на інфраструктурі розробника.</w:t>
      </w:r>
    </w:p>
    <w:p>
      <w:pPr>
        <w:pStyle w:val="ListBullet"/>
      </w:pPr>
      <w:r>
        <w:t>Чого демо НЕ доводить: виконання вимог реального часу/масштабу на даних SCADA/ENTSO-E; точність моделі двійника; latency та обсяг під навантаженням; промислову доступність. Для цього потрібні: реальні дані замовника, метрики валідації (похибка моделі, precision/recall детекції A2, latency/throughput) і незалежна перевірка на приймальних випробуваннях.</w:t>
      </w:r>
    </w:p>
    <w:p/>
    <w:p>
      <w:pPr>
        <w:pStyle w:val="Heading3"/>
      </w:pPr>
      <w:r>
        <w:t>9.2 Контекст потреби — з джерелами та причинним містком</w:t>
      </w:r>
    </w:p>
    <w:p/>
    <w:p>
      <w:pPr>
        <w:ind w:left="454"/>
      </w:pPr>
      <w:r>
        <w:rPr>
          <w:i/>
        </w:rPr>
        <w:t>Великі числа наведено не як обґрунтування ціни, а як контекст пріоритетності. Для кожного — джерело і яку частку проблеми реально знімає наш продукт і за рахунок чого.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Показник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Значення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Джерело (потребує точного посилання у фінальній версії)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Причинний місток до продукту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Прямі збитки сектору передачі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$2.1 млрд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Оцінка KSE Institute (вказати звіт/дату/сторінку)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Частково адресує A1 (краще планування режимів/стійкість) і A3 (зниження втрат); частка зниження — підлягає оцінці на даних, наразі не квантифікована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Чистий збиток ОСП за 2024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37.7 млрд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Фінзвітність/звіт НЕК «Укренерго» (вказати джерело)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Прямого причинного зв'язку з нашим продуктом немає; наводиться лише як контекст фінансового тиску, не як база ROI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Збиток від кібератаки 22.03.2024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90–100 млн EUR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Вказати першоджерело (звіт/ЗМІ/офіційне повідомлення)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Адресує S-04 (кіберстійкість): продукт знижує ймовірність/наслідки подібних інцидентів; кількісний ефект не доведено без пентесту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Інвестпрограма ОСП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~4.36 млрд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Вказати джерело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Контекст спроможності до інвестицій, не ROI-аргумент</w:t>
            </w:r>
          </w:p>
        </w:tc>
      </w:tr>
    </w:tbl>
    <w:p/>
    <w:p/>
    <w:p>
      <w:pPr>
        <w:ind w:left="454"/>
      </w:pPr>
      <w:r>
        <w:rPr>
          <w:i/>
        </w:rPr>
        <w:t>Чесне застереження. Поки джерела не процитовані точно і причинно-наслідковий зв'язок не квантифіковано на даних замовника, ці числа залишаються контекстом, а не доказом окупності. ROI-аргументи беруться лише з Annex E (A1/A3), де є модельний розрахунок.</w:t>
      </w:r>
    </w:p>
    <w:p/>
    <w:p/>
    <w:p>
      <w:pPr>
        <w:pStyle w:val="Heading2"/>
      </w:pPr>
      <w:r>
        <w:t>10. Дорожня карта закриття прогалин (до подачі / до перемоги)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Що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Коли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Хто/як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Юр.особа, ліцензії ДССЗЗІ, референси, фінспроможність (§0, P-05)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ДО подачі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Залучення ліцензованого партнера/консорціуму, збір документів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План атестації КСЗІ / експертизи НД ТЗІ (S-01/S-02)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ДО подачі (план) → під час договору (виконання)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Ліцензований виконавець + середовище замовника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Приведення матриці до «пункт ТД → відповідь» 1:1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 робочі дні після оприлюднення ТД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Перетворення цього шаблону на формальну Compliance Matrix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Валідація точності/продуктивності (T-01…T-09)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На приймальних випробуваннях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Реальні дані (Annex K) + метрики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Точні посилання на джерела §9.2 + квантифікація ефекту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Перед подачею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Звірка з першоджерелами</w:t>
            </w:r>
          </w:p>
        </w:tc>
      </w:tr>
    </w:tbl>
    <w:p/>
    <w:p/>
    <w:p>
      <w:pPr>
        <w:ind w:left="454"/>
      </w:pPr>
      <w:r>
        <w:rPr>
          <w:i/>
        </w:rPr>
        <w:t>Підсумок. До оприлюднення ТД і закриття кваліфікаційного блоку (§0) цей документ — робочий self-assessment, а не Compliance Matrix, і не подається у Prozorro у такому вигляді.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