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b/>
          <w:sz w:val="22"/>
        </w:rPr>
        <w:t>Гриф обмеження доступу: «ЦІЛКОМ ТАЄМНО»</w:t>
        <w:br/>
        <w:t>Прим. № ____   (проєкт — до затвердження КСЗІ)</w:t>
      </w:r>
    </w:p>
    <w:tbl>
      <w:tblPr>
        <w:tblW w:type="auto" w:w="0"/>
        <w:tblLook w:firstColumn="1" w:firstRow="1" w:lastColumn="0" w:lastRow="0" w:noHBand="0" w:noVBand="1" w:val="04A0"/>
      </w:tblPr>
      <w:tblGrid>
        <w:gridCol w:w="4320"/>
        <w:gridCol w:w="4320"/>
      </w:tblGrid>
      <w:tr>
        <w:tc>
          <w:tcPr>
            <w:tcW w:type="dxa" w:w="4320"/>
          </w:tcPr>
          <w:p>
            <w:r>
              <w:rPr>
                <w:sz w:val="22"/>
              </w:rPr>
              <w:t>ПОГОДЖЕНО</w:t>
              <w:br/>
              <w:t>Генеральний директор ВИКОНАВЦЯ</w:t>
              <w:br/>
              <w:t>____________ ______________</w:t>
              <w:br/>
              <w:t>«___» __________ 20__ р.</w:t>
              <w:br/>
              <w:t xml:space="preserve">        М.П.</w:t>
            </w:r>
          </w:p>
        </w:tc>
        <w:tc>
          <w:tcPr>
            <w:tcW w:type="dxa" w:w="4320"/>
          </w:tcPr>
          <w:p>
            <w:r>
              <w:rPr>
                <w:sz w:val="22"/>
              </w:rPr>
              <w:t>ЗАТВЕРДЖУЮ</w:t>
              <w:br/>
              <w:t>Генеральний директор</w:t>
              <w:br/>
              <w:t>НЕК «УКРЕНЕРГО»</w:t>
              <w:br/>
              <w:t>____________ ______________</w:t>
              <w:br/>
              <w:t>«___» __________ 20__ р.</w:t>
              <w:br/>
              <w:t xml:space="preserve">        М.П.</w:t>
            </w:r>
          </w:p>
        </w:tc>
      </w:tr>
    </w:tbl>
    <w:p/>
    <w:p/>
    <w:p/>
    <w:p>
      <w:pPr>
        <w:jc w:val="center"/>
      </w:pPr>
      <w:r>
        <w:rPr>
          <w:b/>
          <w:sz w:val="28"/>
        </w:rPr>
        <w:t>АВТОМАТИЗОВАНА СИСТЕМА</w:t>
      </w:r>
    </w:p>
    <w:p>
      <w:pPr>
        <w:jc w:val="center"/>
      </w:pPr>
      <w:r>
        <w:rPr>
          <w:b/>
          <w:sz w:val="32"/>
        </w:rPr>
        <w:t>«Комплект із трьох самостійних продуктів для ОЕС України»</w:t>
      </w:r>
    </w:p>
    <w:p>
      <w:pPr>
        <w:jc w:val="center"/>
      </w:pPr>
      <w:r>
        <w:rPr>
          <w:b w:val="0"/>
          <w:sz w:val="24"/>
        </w:rPr>
        <w:t>(3П ОЕС)</w:t>
      </w:r>
    </w:p>
    <w:p>
      <w:pPr>
        <w:jc w:val="center"/>
      </w:pPr>
      <w:r>
        <w:rPr>
          <w:b w:val="0"/>
          <w:sz w:val="24"/>
        </w:rPr>
      </w:r>
    </w:p>
    <w:p>
      <w:pPr>
        <w:jc w:val="center"/>
      </w:pPr>
      <w:r>
        <w:rPr>
          <w:b/>
          <w:sz w:val="30"/>
        </w:rPr>
        <w:t>ОБҐРУНТУВАННЯ ВАРТОСТІ</w:t>
      </w:r>
    </w:p>
    <w:p/>
    <w:p/>
    <w:p>
      <w:pPr>
        <w:jc w:val="center"/>
      </w:pPr>
      <w:r>
        <w:rPr>
          <w:sz w:val="22"/>
        </w:rPr>
        <w:t>Позначення документа: UE-3PROD.JST</w:t>
      </w:r>
    </w:p>
    <w:p>
      <w:pPr>
        <w:jc w:val="center"/>
      </w:pPr>
      <w:r>
        <w:rPr>
          <w:sz w:val="22"/>
        </w:rPr>
        <w:t>Кількість аркушів: ____</w:t>
      </w:r>
    </w:p>
    <w:p>
      <w:pPr>
        <w:jc w:val="center"/>
      </w:pPr>
      <w:r>
        <w:rPr>
          <w:sz w:val="22"/>
        </w:rPr>
        <w:t>Редакція: 1.0</w:t>
      </w:r>
    </w:p>
    <w:p/>
    <w:p/>
    <w:p>
      <w:pPr>
        <w:ind w:firstLine="0"/>
        <w:jc w:val="center"/>
      </w:pPr>
      <w:r>
        <w:rPr>
          <w:b/>
          <w:sz w:val="22"/>
        </w:rPr>
        <w:t>ПРИВАТНЕ АКЦІОНЕРНЕ ТОВАРИСТВО «НАЦІОНАЛЬНА ЕНЕРГЕТИЧНА КОМПАНІЯ «УКРЕНЕРГО»</w:t>
      </w:r>
    </w:p>
    <w:p>
      <w:pPr>
        <w:ind w:firstLine="0"/>
        <w:jc w:val="center"/>
      </w:pPr>
      <w:r>
        <w:rPr>
          <w:i/>
          <w:sz w:val="20"/>
        </w:rPr>
        <w:t>Замовник: ПрАТ «НЕК «УКРЕНЕРГО» · код ЄДРПОУ 00100227 · 01032, м. Київ, вул. Симона Петлюри, 25</w:t>
      </w:r>
    </w:p>
    <w:p/>
    <w:p/>
    <w:p>
      <w:pPr>
        <w:ind w:firstLine="0"/>
        <w:jc w:val="center"/>
      </w:pPr>
      <w:r>
        <w:rPr>
          <w:sz w:val="24"/>
        </w:rPr>
        <w:t>Київ</w:t>
      </w:r>
    </w:p>
    <w:p>
      <w:pPr>
        <w:ind w:firstLine="0"/>
        <w:jc w:val="center"/>
      </w:pPr>
      <w:r>
        <w:rPr>
          <w:sz w:val="24"/>
        </w:rPr>
        <w:t>2026</w:t>
      </w:r>
    </w:p>
    <w:p>
      <w:r>
        <w:br w:type="page"/>
      </w:r>
    </w:p>
    <w:p>
      <w:pPr>
        <w:pStyle w:val="Heading2"/>
      </w:pPr>
      <w:r>
        <w:t>1. РЕЗЮМЕ</w:t>
      </w:r>
    </w:p>
    <w:p/>
    <w:p>
      <w:r>
        <w:t>Цей документ обґрунтовує вартість запропонованого рішення шляхом прямого зіставлення з реальними контрактами та ринковими ставками світового рівня (Tier-1). Висновок аудиту чотирьох незалежних класів свідчень — публічних держконтрактів, ринкових ставок праці, аналогічних проєктів операторів передачі (TSO) та галузевих звітів — однозначний.</w:t>
      </w:r>
    </w:p>
    <w:p/>
    <w:p>
      <w:r>
        <w:t>Теза 1. Запропонована ціна лежить у коридорі світових аналогів, причому ближче до його нижньої межі. Базою пропозиції є три самостійні продукти, що впроваджуються роздільно в порядку пріоритету (Модель A — сумарно $51,1 млн; кожен продукт працює повністю незалежно від двох інших, має власне ТЗ, бюджет і допсоглашення). Опціональним горизонтом land-and-expand є об'єднання продуктів у єдину платформу зі знижкою 25% (Модель B — $38,4 млн), що розкривається ПІСЛЯ впровадження Продукту №1 як перспектива, а не умова. Навіть така опціональна платформа співмірна з одиничними держконтрактами на платформи інтеграції критичних даних: USDA — $300 млн (2026), CDC — $443 млн (2022), армійський контракт Maven — стеля ~$1,3 млрд до 2029. Тобто за одну платформу ми просимо суму, меншу за окремі річні транші зарубіжних аналогів.</w:t>
      </w:r>
    </w:p>
    <w:p/>
    <w:p>
      <w:r>
        <w:t>Теза 2. Ціна формується не «кількістю рядків коду», а вузькою дефіцитною експертизою power-systems та безпековим контекстом. Спеціалізований power-systems інженер у США коштує в середньому $148 тис./рік, а топ-дециль — $228 тис./рік (Glassdoor, 2026). Допуск до критичної/секретної інфраструктури додає до ставки 10–25% (ClearanceJobs, IBM, 2024–2026). Ці фактори структурно прибирають «дешевий» сегмент ринку.</w:t>
      </w:r>
    </w:p>
    <w:p/>
    <w:p>
      <w:r>
        <w:t>Теза 3. Робота в умовах воєнного ризику в Україні має офіційно визнану надбавку. Держдеп США встановив danger pay 35% від базової зарплати для Києва (чинна з 24.04.2022), а Пентагон визнав Україну зоною imminent danger. Це прямий регуляторний бенчмарк для воєнної компоненти ціни.</w:t>
      </w:r>
    </w:p>
    <w:p/>
    <w:p>
      <w:r>
        <w:t>Теза 4. Ми чесно розмежовуємо рівні складності. Лише A1 побудований на повноцінній моделі фізики мережі та оцінений за преміальними ставками. A2 (автоматизація нагляду) та A3 (прогнозна аналітика) свідомо оцінені дешевше, за нижчими ставками. Це знижує сукупну ціну та підвищує прозорість оцінки.</w:t>
      </w:r>
    </w:p>
    <w:p/>
    <w:p>
      <w:pPr>
        <w:pStyle w:val="Heading2"/>
      </w:pPr>
      <w:r>
        <w:t>2. МЕТОДОЛОГІЯ ЦІНОУТВОРЕННЯ</w:t>
      </w:r>
    </w:p>
    <w:p/>
    <w:p>
      <w:r>
        <w:t>Ціна кожного продукту виводиться від собівартості праці команди через прозорий ланцюг множників:</w:t>
      </w:r>
    </w:p>
    <w:p/>
    <w:p>
      <w:r>
        <w:t>Собівартість × 2,75 (overhead) × 1,18 (clearance) × 1,15 (воєнна надбавка) = × 3,732.</w:t>
      </w:r>
    </w:p>
    <w:p/>
    <w:p>
      <w:pPr>
        <w:pStyle w:val="Heading3"/>
      </w:pPr>
      <w:r>
        <w:t>2.1. Базова собівартість — від реальних ринкових ставок праці</w:t>
      </w:r>
    </w:p>
    <w:p/>
    <w:p>
      <w:r>
        <w:t>Ядро команди — інженери power-systems (модель фізики мережі, state estimation, контроль режимів N-1) та senior ML/data-інженери. Ринкові ставки цих ролей (підтверджені):</w:t>
      </w:r>
    </w:p>
    <w:p/>
    <w:p>
      <w:pPr>
        <w:pStyle w:val="ListBullet"/>
      </w:pPr>
      <w:r>
        <w:t>Power Systems Engineer (США): середня $148 142/рік, діапазон 25–75 перцентиль $118 920 – $186 583, топ-дециль $228 369 (Glassdoor, 2026).</w:t>
      </w:r>
    </w:p>
    <w:p>
      <w:pPr>
        <w:pStyle w:val="ListBullet"/>
      </w:pPr>
      <w:r>
        <w:t>Electrical engineer (США): медіана $111 910/рік, топ-10% &gt;$175 460 (BLS Occupational Outlook Handbook, May 2024).</w:t>
      </w:r>
    </w:p>
    <w:p>
      <w:pPr>
        <w:pStyle w:val="ListBullet"/>
      </w:pPr>
      <w:r>
        <w:t>ML-інженер (США): медіанна сукупна компенсація $270 000/рік (Levels.fyi, 2025).</w:t>
      </w:r>
    </w:p>
    <w:p>
      <w:pPr>
        <w:pStyle w:val="ListBullet"/>
      </w:pPr>
      <w:r>
        <w:t>Data engineer (США): медіана $155 000/рік (Levels.fyi, 2025).</w:t>
      </w:r>
    </w:p>
    <w:p>
      <w:pPr>
        <w:pStyle w:val="ListBullet"/>
      </w:pPr>
      <w:r>
        <w:t>Senior-рівень у Зах. Європі (Німеччина): типово ~€80–110 тис./рік, розширений діапазон до топ-seniority €118–311 тис. (Glassdoor, 2025).</w:t>
      </w:r>
    </w:p>
    <w:p/>
    <w:p>
      <w:pPr>
        <w:pStyle w:val="Heading3"/>
      </w:pPr>
      <w:r>
        <w:t>2.2. Множник overhead (×2,75) — підтверджений двома незалежними бенчмарками</w:t>
      </w:r>
    </w:p>
    <w:p/>
    <w:p>
      <w:r>
        <w:t>У комерційному консалтингу стандартне правило ціноутворення — bill rate = 2,5–3,0× зарплати (40% gross margin). Це підтверджується реальними GSA-ставками Tier-1 фірм для держзамовника США:</w:t>
      </w:r>
    </w:p>
    <w:p/>
    <w:p>
      <w:pPr>
        <w:pStyle w:val="ListBullet"/>
      </w:pPr>
      <w:r>
        <w:t>McKinsey: senior partner $1 193,57/год (≈$9 549/день), engagement manager $834,40/год, analyst/associate $327–498/год (GSA MAS, контракт 47QRAA22D00E3, 2024).</w:t>
      </w:r>
    </w:p>
    <w:p>
      <w:pPr>
        <w:pStyle w:val="ListBullet"/>
      </w:pPr>
      <w:r>
        <w:t>BCG: senior partner $1 116,17/год, project lead $711,35/год (GSA federal supply schedule, 2024).</w:t>
      </w:r>
    </w:p>
    <w:p>
      <w:pPr>
        <w:pStyle w:val="ListBullet"/>
      </w:pPr>
      <w:r>
        <w:t>Accenture Federal Services (системна інтеграція — найближчий аналог до IT-впровадження): топ-ставки в діапазоні $239–396/год (GSA, контракт GS-35F-540GA, 2024).</w:t>
      </w:r>
    </w:p>
    <w:p/>
    <w:p>
      <w:r>
        <w:t>Множник ×2,75 — у нижній частині комерційного діапазону 2,5–3,0, тобто консервативний.</w:t>
      </w:r>
    </w:p>
    <w:p/>
    <w:p>
      <w:pPr>
        <w:pStyle w:val="Heading3"/>
      </w:pPr>
      <w:r>
        <w:t>2.3. Множник clearance (×1,18)</w:t>
      </w:r>
    </w:p>
    <w:p/>
    <w:p>
      <w:r>
        <w:t>Допуск до критичної/секретної інфраструктури додає до зарплати інженера в середньому 10–20% (ширший діапазон 10–25%): Secret +5–15%, Top Secret +15–25%, TS/SCI ще вище (ClearanceJobs 2024 Security Clearance Compensation Report; IBM Think Insights, 2024; CyberSecJobs, 2026). Для інженерних ролей надбавка за TS/SCI становить 15–20%. Застосований множник ×1,18 (тобто +18%) — у межах цього діапазону.</w:t>
      </w:r>
    </w:p>
    <w:p/>
    <w:p>
      <w:pPr>
        <w:pStyle w:val="Heading3"/>
      </w:pPr>
      <w:r>
        <w:t>2.4. Множник воєнної надбавки (×1,15)</w:t>
      </w:r>
    </w:p>
    <w:p/>
    <w:p>
      <w:r>
        <w:t>Офіційна планка danger pay Держдепу США для Києва — 35% від базової компенсації (DSSR 650, чинна з 24.04.2022). Регуляторна стеля комбінації danger pay + service-need differential — 35% (DSSR). Пентагон встановив imminent danger pay для військових в Україні (Stars and Stripes, 28.07.2023). Ми застосовуємо лише +15% — менше половини офіційно визнаної планки 35%, тобто свідомо консервативно.</w:t>
      </w:r>
    </w:p>
    <w:p/>
    <w:p>
      <w:pPr>
        <w:pStyle w:val="Heading2"/>
      </w:pPr>
      <w:r>
        <w:t>3. ПРИВ'ЯЗКА ДО РИНКОВИХ ЯКОРІВ</w:t>
      </w:r>
    </w:p>
    <w:p/>
    <w:p>
      <w:r>
        <w:t>Наведено лише підтверджені (confirmed/plausible) цифри з ринкового дослідження.</w:t>
      </w:r>
    </w:p>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sz w:val="20"/>
              </w:rPr>
              <w:t>Наш продукт</w:t>
            </w:r>
          </w:p>
        </w:tc>
        <w:tc>
          <w:tcPr>
            <w:tcW w:type="dxa" w:w="1728"/>
          </w:tcPr>
          <w:p>
            <w:r>
              <w:rPr>
                <w:b/>
                <w:sz w:val="20"/>
              </w:rPr>
              <w:t>Світовий аналог</w:t>
            </w:r>
          </w:p>
        </w:tc>
        <w:tc>
          <w:tcPr>
            <w:tcW w:type="dxa" w:w="1728"/>
          </w:tcPr>
          <w:p>
            <w:r>
              <w:rPr>
                <w:b/>
                <w:sz w:val="20"/>
              </w:rPr>
              <w:t>Їх ціна (джерело)</w:t>
            </w:r>
          </w:p>
        </w:tc>
        <w:tc>
          <w:tcPr>
            <w:tcW w:type="dxa" w:w="1728"/>
          </w:tcPr>
          <w:p>
            <w:r>
              <w:rPr>
                <w:b/>
                <w:sz w:val="20"/>
              </w:rPr>
              <w:t>Наша ціна</w:t>
            </w:r>
          </w:p>
        </w:tc>
        <w:tc>
          <w:tcPr>
            <w:tcW w:type="dxa" w:w="1728"/>
          </w:tcPr>
          <w:p>
            <w:r>
              <w:rPr>
                <w:b/>
                <w:sz w:val="20"/>
              </w:rPr>
              <w:t>Висновок</w:t>
            </w:r>
          </w:p>
        </w:tc>
      </w:tr>
      <w:tr>
        <w:tc>
          <w:tcPr>
            <w:tcW w:type="dxa" w:w="1728"/>
          </w:tcPr>
          <w:p>
            <w:r>
              <w:rPr>
                <w:sz w:val="20"/>
              </w:rPr>
              <w:t>A1 — Система управління ризиками безпеки та прогнозування загроз (повна)</w:t>
            </w:r>
          </w:p>
        </w:tc>
        <w:tc>
          <w:tcPr>
            <w:tcW w:type="dxa" w:w="1728"/>
          </w:tcPr>
          <w:p>
            <w:r>
              <w:rPr>
                <w:sz w:val="20"/>
              </w:rPr>
              <w:t>Модернізація SCADA/EMS PSE, Польща (Siemens): заміна всіх модулів SCADA+EMS, 2 роки + 5 років сервісу</w:t>
            </w:r>
          </w:p>
        </w:tc>
        <w:tc>
          <w:tcPr>
            <w:tcW w:type="dxa" w:w="1728"/>
          </w:tcPr>
          <w:p>
            <w:r>
              <w:rPr>
                <w:sz w:val="20"/>
              </w:rPr>
              <w:t>82 млн PLN ≈ $20 млн (Siemens Polska, 2023)</w:t>
            </w:r>
          </w:p>
        </w:tc>
        <w:tc>
          <w:tcPr>
            <w:tcW w:type="dxa" w:w="1728"/>
          </w:tcPr>
          <w:p>
            <w:r>
              <w:rPr>
                <w:sz w:val="20"/>
              </w:rPr>
              <w:t>$26,9 млн</w:t>
            </w:r>
          </w:p>
        </w:tc>
        <w:tc>
          <w:tcPr>
            <w:tcW w:type="dxa" w:w="1728"/>
          </w:tcPr>
          <w:p>
            <w:r>
              <w:rPr>
                <w:sz w:val="20"/>
              </w:rPr>
              <w:t>Той самий клас ядра для зіставного TSO ЦСЄ; наша надбавка — за воєнні/clearance-вимоги та повний «двійник» фізики, а не лише SCADA/EMS</w:t>
            </w:r>
          </w:p>
        </w:tc>
      </w:tr>
      <w:tr>
        <w:tc>
          <w:tcPr>
            <w:tcW w:type="dxa" w:w="1728"/>
          </w:tcPr>
          <w:p>
            <w:r>
              <w:rPr>
                <w:sz w:val="20"/>
              </w:rPr>
              <w:t>A1 (повна)</w:t>
            </w:r>
          </w:p>
        </w:tc>
        <w:tc>
          <w:tcPr>
            <w:tcW w:type="dxa" w:w="1728"/>
          </w:tcPr>
          <w:p>
            <w:r>
              <w:rPr>
                <w:sz w:val="20"/>
              </w:rPr>
              <w:t>Типовий enterprise EMS/SCADA для TSO (state estimation, network model, contingency analysis)</w:t>
            </w:r>
          </w:p>
        </w:tc>
        <w:tc>
          <w:tcPr>
            <w:tcW w:type="dxa" w:w="1728"/>
          </w:tcPr>
          <w:p>
            <w:r>
              <w:rPr>
                <w:sz w:val="20"/>
              </w:rPr>
              <w:t>$5–20 млн (галузевий діапазон, 2026)</w:t>
            </w:r>
          </w:p>
        </w:tc>
        <w:tc>
          <w:tcPr>
            <w:tcW w:type="dxa" w:w="1728"/>
          </w:tcPr>
          <w:p>
            <w:r>
              <w:rPr>
                <w:sz w:val="20"/>
              </w:rPr>
              <w:t>$26,9 млн</w:t>
            </w:r>
          </w:p>
        </w:tc>
        <w:tc>
          <w:tcPr>
            <w:tcW w:type="dxa" w:w="1728"/>
          </w:tcPr>
          <w:p>
            <w:r>
              <w:rPr>
                <w:sz w:val="20"/>
              </w:rPr>
              <w:t>A1 — двійник фізики мережі, ширший за класичний EMS; верхня межа діапазону + воєнна надбавка</w:t>
            </w:r>
          </w:p>
        </w:tc>
      </w:tr>
      <w:tr>
        <w:tc>
          <w:tcPr>
            <w:tcW w:type="dxa" w:w="1728"/>
          </w:tcPr>
          <w:p>
            <w:r>
              <w:rPr>
                <w:sz w:val="20"/>
              </w:rPr>
              <w:t>A1 / A2</w:t>
            </w:r>
          </w:p>
        </w:tc>
        <w:tc>
          <w:tcPr>
            <w:tcW w:type="dxa" w:w="1728"/>
          </w:tcPr>
          <w:p>
            <w:r>
              <w:rPr>
                <w:sz w:val="20"/>
              </w:rPr>
              <w:t>TwinEU — двійник електромережі ЄС, 75 партнерів, 8 пілотів, R&amp;I-концепт</w:t>
            </w:r>
          </w:p>
        </w:tc>
        <w:tc>
          <w:tcPr>
            <w:tcW w:type="dxa" w:w="1728"/>
          </w:tcPr>
          <w:p>
            <w:r>
              <w:rPr>
                <w:sz w:val="20"/>
              </w:rPr>
              <w:t>€25,2 млн total / €20 млн внесок ЄС (CORDIS 101136119, 2024)</w:t>
            </w:r>
          </w:p>
        </w:tc>
        <w:tc>
          <w:tcPr>
            <w:tcW w:type="dxa" w:w="1728"/>
          </w:tcPr>
          <w:p>
            <w:r>
              <w:rPr>
                <w:sz w:val="20"/>
              </w:rPr>
              <w:t>A1 $26,9 млн</w:t>
            </w:r>
          </w:p>
        </w:tc>
        <w:tc>
          <w:tcPr>
            <w:tcW w:type="dxa" w:w="1728"/>
          </w:tcPr>
          <w:p>
            <w:r>
              <w:rPr>
                <w:sz w:val="20"/>
              </w:rPr>
              <w:t>Наш продакшн single-tenant для одного оператора порівнянний з бюджетом R&amp;I-концепту, розмазаного на 75 юросіб</w:t>
            </w:r>
          </w:p>
        </w:tc>
      </w:tr>
      <w:tr>
        <w:tc>
          <w:tcPr>
            <w:tcW w:type="dxa" w:w="1728"/>
          </w:tcPr>
          <w:p>
            <w:r>
              <w:rPr>
                <w:sz w:val="20"/>
              </w:rPr>
              <w:t>A2 — Система виявлення зловживань на енергоринку (повна)</w:t>
            </w:r>
          </w:p>
        </w:tc>
        <w:tc>
          <w:tcPr>
            <w:tcW w:type="dxa" w:w="1728"/>
          </w:tcPr>
          <w:p>
            <w:r>
              <w:rPr>
                <w:sz w:val="20"/>
              </w:rPr>
              <w:t>Придбання технології SMARTS компанією Nasdaq (вся IP двигуна нагляду)</w:t>
            </w:r>
          </w:p>
        </w:tc>
        <w:tc>
          <w:tcPr>
            <w:tcW w:type="dxa" w:w="1728"/>
          </w:tcPr>
          <w:p>
            <w:r>
              <w:rPr>
                <w:sz w:val="20"/>
              </w:rPr>
              <w:t>$77 млн (SEC 8-K NASDAQ OMX, 2010)</w:t>
            </w:r>
          </w:p>
        </w:tc>
        <w:tc>
          <w:tcPr>
            <w:tcW w:type="dxa" w:w="1728"/>
          </w:tcPr>
          <w:p>
            <w:r>
              <w:rPr>
                <w:sz w:val="20"/>
              </w:rPr>
              <w:t>$15,1 млн</w:t>
            </w:r>
          </w:p>
        </w:tc>
        <w:tc>
          <w:tcPr>
            <w:tcW w:type="dxa" w:w="1728"/>
          </w:tcPr>
          <w:p>
            <w:r>
              <w:rPr>
                <w:sz w:val="20"/>
              </w:rPr>
              <w:t>Побудова еквівалента нагляду «з нуля» = десятки млн; наша ціна — частка вартості зрілого двигуна</w:t>
            </w:r>
          </w:p>
        </w:tc>
      </w:tr>
      <w:tr>
        <w:tc>
          <w:tcPr>
            <w:tcW w:type="dxa" w:w="1728"/>
          </w:tcPr>
          <w:p>
            <w:r>
              <w:rPr>
                <w:sz w:val="20"/>
              </w:rPr>
              <w:t>A2 (повна)</w:t>
            </w:r>
          </w:p>
        </w:tc>
        <w:tc>
          <w:tcPr>
            <w:tcW w:type="dxa" w:w="1728"/>
          </w:tcPr>
          <w:p>
            <w:r>
              <w:rPr>
                <w:sz w:val="20"/>
              </w:rPr>
              <w:t>Maven Smart System (Пентагон, AI-нагляд/аналітика): початковий 5-річний IDIQ</w:t>
            </w:r>
          </w:p>
        </w:tc>
        <w:tc>
          <w:tcPr>
            <w:tcW w:type="dxa" w:w="1728"/>
          </w:tcPr>
          <w:p>
            <w:r>
              <w:rPr>
                <w:sz w:val="20"/>
              </w:rPr>
              <w:t>$480 млн (DefenseScoop, 2024)</w:t>
            </w:r>
          </w:p>
        </w:tc>
        <w:tc>
          <w:tcPr>
            <w:tcW w:type="dxa" w:w="1728"/>
          </w:tcPr>
          <w:p>
            <w:r>
              <w:rPr>
                <w:sz w:val="20"/>
              </w:rPr>
              <w:t>$15,1 млн</w:t>
            </w:r>
          </w:p>
        </w:tc>
        <w:tc>
          <w:tcPr>
            <w:tcW w:type="dxa" w:w="1728"/>
          </w:tcPr>
          <w:p>
            <w:r>
              <w:rPr>
                <w:sz w:val="20"/>
              </w:rPr>
              <w:t>~$96 млн/рік за один AI-продукт з воєнними вимогами; наша ціна — мала частка від Tier-1 бенчмарку</w:t>
            </w:r>
          </w:p>
        </w:tc>
      </w:tr>
      <w:tr>
        <w:tc>
          <w:tcPr>
            <w:tcW w:type="dxa" w:w="1728"/>
          </w:tcPr>
          <w:p>
            <w:r>
              <w:rPr>
                <w:sz w:val="20"/>
              </w:rPr>
              <w:t>A2 (повна)</w:t>
            </w:r>
          </w:p>
        </w:tc>
        <w:tc>
          <w:tcPr>
            <w:tcW w:type="dxa" w:w="1728"/>
          </w:tcPr>
          <w:p>
            <w:r>
              <w:rPr>
                <w:sz w:val="20"/>
              </w:rPr>
              <w:t>Держсистема нагляду регулятора SEBI IMSS (вендор HCL)</w:t>
            </w:r>
          </w:p>
        </w:tc>
        <w:tc>
          <w:tcPr>
            <w:tcW w:type="dxa" w:w="1728"/>
          </w:tcPr>
          <w:p>
            <w:r>
              <w:rPr>
                <w:sz w:val="20"/>
              </w:rPr>
              <w:t>Rs 20,55 крор ≈ $4,4–4,6 млн (2010)</w:t>
            </w:r>
          </w:p>
        </w:tc>
        <w:tc>
          <w:tcPr>
            <w:tcW w:type="dxa" w:w="1728"/>
          </w:tcPr>
          <w:p>
            <w:r>
              <w:rPr>
                <w:sz w:val="20"/>
              </w:rPr>
              <w:t>$15,1 млн / MVP $6 млн</w:t>
            </w:r>
          </w:p>
        </w:tc>
        <w:tc>
          <w:tcPr>
            <w:tcW w:type="dxa" w:w="1728"/>
          </w:tcPr>
          <w:p>
            <w:r>
              <w:rPr>
                <w:sz w:val="20"/>
              </w:rPr>
              <w:t>Регуляторна система нагляду цінується мільйонами; з поправкою на масштаб і воєнні вимоги ціна обґрунтована</w:t>
            </w:r>
          </w:p>
        </w:tc>
      </w:tr>
      <w:tr>
        <w:tc>
          <w:tcPr>
            <w:tcW w:type="dxa" w:w="1728"/>
          </w:tcPr>
          <w:p>
            <w:r>
              <w:rPr>
                <w:sz w:val="20"/>
              </w:rPr>
              <w:t>A3 — Прогноз технологічних втрат передачі (повна)</w:t>
            </w:r>
          </w:p>
        </w:tc>
        <w:tc>
          <w:tcPr>
            <w:tcW w:type="dxa" w:w="1728"/>
          </w:tcPr>
          <w:p>
            <w:r>
              <w:rPr>
                <w:sz w:val="20"/>
              </w:rPr>
              <w:t>Пакет EMS+SCADA+IT для TSO (ISO Боснія і Герцеговина, кредит EBRD)</w:t>
            </w:r>
          </w:p>
        </w:tc>
        <w:tc>
          <w:tcPr>
            <w:tcW w:type="dxa" w:w="1728"/>
          </w:tcPr>
          <w:p>
            <w:r>
              <w:rPr>
                <w:sz w:val="20"/>
              </w:rPr>
              <w:t>€8,5 млн (EBRD project 47324, 2015)</w:t>
            </w:r>
          </w:p>
        </w:tc>
        <w:tc>
          <w:tcPr>
            <w:tcW w:type="dxa" w:w="1728"/>
          </w:tcPr>
          <w:p>
            <w:r>
              <w:rPr>
                <w:sz w:val="20"/>
              </w:rPr>
              <w:t>$9,1 млн</w:t>
            </w:r>
          </w:p>
        </w:tc>
        <w:tc>
          <w:tcPr>
            <w:tcW w:type="dxa" w:w="1728"/>
          </w:tcPr>
          <w:p>
            <w:r>
              <w:rPr>
                <w:sz w:val="20"/>
              </w:rPr>
              <w:t>Найточніший якір: невеликий TSO платить €8,5 млн; Укренерго — значно більша мережа + воєнні/cyber-вимоги</w:t>
            </w:r>
          </w:p>
        </w:tc>
      </w:tr>
      <w:tr>
        <w:tc>
          <w:tcPr>
            <w:tcW w:type="dxa" w:w="1728"/>
          </w:tcPr>
          <w:p>
            <w:r>
              <w:rPr>
                <w:sz w:val="20"/>
              </w:rPr>
              <w:t>A3 (повна)</w:t>
            </w:r>
          </w:p>
        </w:tc>
        <w:tc>
          <w:tcPr>
            <w:tcW w:type="dxa" w:w="1728"/>
          </w:tcPr>
          <w:p>
            <w:r>
              <w:rPr>
                <w:sz w:val="20"/>
              </w:rPr>
              <w:t>Система мережевих розрахунків EMS Core Swissgrid (PSIcontrol 4.10, прогноз на 72 год)</w:t>
            </w:r>
          </w:p>
        </w:tc>
        <w:tc>
          <w:tcPr>
            <w:tcW w:type="dxa" w:w="1728"/>
          </w:tcPr>
          <w:p>
            <w:r>
              <w:rPr>
                <w:sz w:val="20"/>
              </w:rPr>
              <w:t>сума не розкрита; 27 міс. впровадження (PSI Software SE, 2023)</w:t>
            </w:r>
          </w:p>
        </w:tc>
        <w:tc>
          <w:tcPr>
            <w:tcW w:type="dxa" w:w="1728"/>
          </w:tcPr>
          <w:p>
            <w:r>
              <w:rPr>
                <w:sz w:val="20"/>
              </w:rPr>
              <w:t>$9,1 млн</w:t>
            </w:r>
          </w:p>
        </w:tc>
        <w:tc>
          <w:tcPr>
            <w:tcW w:type="dxa" w:w="1728"/>
          </w:tcPr>
          <w:p>
            <w:r>
              <w:rPr>
                <w:sz w:val="20"/>
              </w:rPr>
              <w:t>Прямий функціональний аналог прогнозу стану мережі у Tier-1 TSO</w:t>
            </w:r>
          </w:p>
        </w:tc>
      </w:tr>
      <w:tr>
        <w:tc>
          <w:tcPr>
            <w:tcW w:type="dxa" w:w="1728"/>
          </w:tcPr>
          <w:p>
            <w:r>
              <w:rPr>
                <w:sz w:val="20"/>
              </w:rPr>
              <w:t>Опціональне посилення — платформа (Модель B, follow-on після Продукту №1)</w:t>
            </w:r>
          </w:p>
        </w:tc>
        <w:tc>
          <w:tcPr>
            <w:tcW w:type="dxa" w:w="1728"/>
          </w:tcPr>
          <w:p>
            <w:r>
              <w:rPr>
                <w:sz w:val="20"/>
              </w:rPr>
              <w:t>Уніфікація критичних БД у єдину держплатформу (USDA «One Farmer One File», Foundry)</w:t>
            </w:r>
          </w:p>
        </w:tc>
        <w:tc>
          <w:tcPr>
            <w:tcW w:type="dxa" w:w="1728"/>
          </w:tcPr>
          <w:p>
            <w:r>
              <w:rPr>
                <w:sz w:val="20"/>
              </w:rPr>
              <w:t>$300 млн (FedScoop, 2026)</w:t>
            </w:r>
          </w:p>
        </w:tc>
        <w:tc>
          <w:tcPr>
            <w:tcW w:type="dxa" w:w="1728"/>
          </w:tcPr>
          <w:p>
            <w:r>
              <w:rPr>
                <w:sz w:val="20"/>
              </w:rPr>
              <w:t>$38,4 млн</w:t>
            </w:r>
          </w:p>
        </w:tc>
        <w:tc>
          <w:tcPr>
            <w:tcW w:type="dxa" w:w="1728"/>
          </w:tcPr>
          <w:p>
            <w:r>
              <w:rPr>
                <w:sz w:val="20"/>
              </w:rPr>
              <w:t>Схлопування силосних даних оператора КІ за рубежем = сотні млн; наша платформа — частка цього</w:t>
            </w:r>
          </w:p>
        </w:tc>
      </w:tr>
      <w:tr>
        <w:tc>
          <w:tcPr>
            <w:tcW w:type="dxa" w:w="1728"/>
          </w:tcPr>
          <w:p>
            <w:r>
              <w:rPr>
                <w:sz w:val="20"/>
              </w:rPr>
              <w:t>Опціональне посилення — платформа (Модель B, follow-on після Продукту №1)</w:t>
            </w:r>
          </w:p>
        </w:tc>
        <w:tc>
          <w:tcPr>
            <w:tcW w:type="dxa" w:w="1728"/>
          </w:tcPr>
          <w:p>
            <w:r>
              <w:rPr>
                <w:sz w:val="20"/>
              </w:rPr>
              <w:t>CDC — консолідація HHS Protect, Tiberius, ASPR Engage, DCIPHER на Foundry, 5 років</w:t>
            </w:r>
          </w:p>
        </w:tc>
        <w:tc>
          <w:tcPr>
            <w:tcW w:type="dxa" w:w="1728"/>
          </w:tcPr>
          <w:p>
            <w:r>
              <w:rPr>
                <w:sz w:val="20"/>
              </w:rPr>
              <w:t>$443 млн (FedScoop/PRNewswire, 2022)</w:t>
            </w:r>
          </w:p>
        </w:tc>
        <w:tc>
          <w:tcPr>
            <w:tcW w:type="dxa" w:w="1728"/>
          </w:tcPr>
          <w:p>
            <w:r>
              <w:rPr>
                <w:sz w:val="20"/>
              </w:rPr>
              <w:t>$38,4 млн</w:t>
            </w:r>
          </w:p>
        </w:tc>
        <w:tc>
          <w:tcPr>
            <w:tcW w:type="dxa" w:w="1728"/>
          </w:tcPr>
          <w:p>
            <w:r>
              <w:rPr>
                <w:sz w:val="20"/>
              </w:rPr>
              <w:t>Прямий цивільний аналог уніфікації багатьох критичних БД для одного відомства; наша ціна ~9% від нього</w:t>
            </w:r>
          </w:p>
        </w:tc>
      </w:tr>
      <w:tr>
        <w:tc>
          <w:tcPr>
            <w:tcW w:type="dxa" w:w="1728"/>
          </w:tcPr>
          <w:p>
            <w:r>
              <w:rPr>
                <w:sz w:val="20"/>
              </w:rPr>
              <w:t>Опціональне посилення — платформа / контекст</w:t>
            </w:r>
          </w:p>
        </w:tc>
        <w:tc>
          <w:tcPr>
            <w:tcW w:type="dxa" w:w="1728"/>
          </w:tcPr>
          <w:p>
            <w:r>
              <w:rPr>
                <w:sz w:val="20"/>
              </w:rPr>
              <w:t>Армійський enterprise-контракт Palantir (консолідація 75 контрактів), 10 років</w:t>
            </w:r>
          </w:p>
        </w:tc>
        <w:tc>
          <w:tcPr>
            <w:tcW w:type="dxa" w:w="1728"/>
          </w:tcPr>
          <w:p>
            <w:r>
              <w:rPr>
                <w:sz w:val="20"/>
              </w:rPr>
              <w:t>до $10 млрд стеля (CNBC/Breaking Defense, 2025)</w:t>
            </w:r>
          </w:p>
        </w:tc>
        <w:tc>
          <w:tcPr>
            <w:tcW w:type="dxa" w:w="1728"/>
          </w:tcPr>
          <w:p>
            <w:r>
              <w:rPr>
                <w:sz w:val="20"/>
              </w:rPr>
              <w:t>$38,4 млн</w:t>
            </w:r>
          </w:p>
        </w:tc>
        <w:tc>
          <w:tcPr>
            <w:tcW w:type="dxa" w:w="1728"/>
          </w:tcPr>
          <w:p>
            <w:r>
              <w:rPr>
                <w:sz w:val="20"/>
              </w:rPr>
              <w:t>Верхня межа цінності платформенної стандартизації для одного оператора з clearance</w:t>
            </w:r>
          </w:p>
        </w:tc>
      </w:tr>
    </w:tbl>
    <w:p/>
    <w:p/>
    <w:p>
      <w:r>
        <w:t>Контекст ринку (для масштабу, не для прямого ціноутворення):</w:t>
      </w:r>
    </w:p>
    <w:p/>
    <w:p>
      <w:pPr>
        <w:pStyle w:val="ListBullet"/>
      </w:pPr>
      <w:r>
        <w:t>Глобальний ринок цифрових двійників: $21,14 млрд (2025) → $149,81 млрд (2030), CAGR 47,9% (MarketsandMarkets, 2025).</w:t>
      </w:r>
    </w:p>
    <w:p>
      <w:pPr>
        <w:pStyle w:val="ListBullet"/>
      </w:pPr>
      <w:r>
        <w:t>Європейський сегмент: $7,08 млрд (2025) → $49,32 млрд (2030), CAGR 47,4% (MarketsandMarkets, 2025).</w:t>
      </w:r>
    </w:p>
    <w:p>
      <w:pPr>
        <w:pStyle w:val="ListBullet"/>
      </w:pPr>
      <w:r>
        <w:t>Вузький сегмент electrical digital twin: $0,8 млрд (2021) → $1,3 млрд (2026), CAGR 12,2% (MarketsandMarkets); utilities та grid-оператори — домінуючий end-user (профіль Укренерго).</w:t>
      </w:r>
    </w:p>
    <w:p>
      <w:pPr>
        <w:pStyle w:val="ListBullet"/>
      </w:pPr>
      <w:r>
        <w:t>Глобальний ринок ADMS (EMS/OMS/DERMS): $3,52 млрд (2025) → $7,41 млрд (2030), CAGR 16,0% (MarketsandMarkets, 2025); домінують Hitachi Energy, Siemens, Schneider, GE, Honeywell.</w:t>
      </w:r>
    </w:p>
    <w:p>
      <w:pPr>
        <w:pStyle w:val="ListBullet"/>
      </w:pPr>
      <w:r>
        <w:t>Ринок state estimation software (модуль розрахунку втрат, потоків, напруг): $602 млн (2023) → $1 029,5 млн (2030), CAGR 7,8% (Valuates/QYResearch).</w:t>
      </w:r>
    </w:p>
    <w:p/>
    <w:p>
      <w:r>
        <w:t>Масштаб CAPEX операторів передачі (підтверджує, що ПЗ — мала частка інвестпрограм TSO):</w:t>
      </w:r>
    </w:p>
    <w:p/>
    <w:p>
      <w:pPr>
        <w:pStyle w:val="ListBullet"/>
      </w:pPr>
      <w:r>
        <w:t>RTE (Франція): план ~€90–100 млрд на 15 років (CRE SDDR 2025); R&amp;D ~€40 млн/рік, команда ~100 осіб — найбільший R&amp;D-бюджет серед TSO Європи.</w:t>
      </w:r>
    </w:p>
    <w:p>
      <w:pPr>
        <w:pStyle w:val="ListBullet"/>
      </w:pPr>
      <w:r>
        <w:t>50Hertz (Німеччина): інвестпрограма €23 млрд до 2028 (digitalisation всередині); проєкт MCCS NextGen — повна заміна SCADA/EMS/LFC/CMS/scheduling.</w:t>
      </w:r>
    </w:p>
    <w:p>
      <w:pPr>
        <w:pStyle w:val="ListBullet"/>
      </w:pPr>
      <w:r>
        <w:t>TenneT: рамкова угода €1,9 млрд на підстанції (Siemens Energy, Hitachi Energy, GE Grid, Royal SMIT, 2023).</w:t>
      </w:r>
    </w:p>
    <w:p/>
    <w:p>
      <w:pPr>
        <w:pStyle w:val="Heading2"/>
      </w:pPr>
      <w:r>
        <w:t>4. ЧОМУ НЕМОЖЛИВО ДЕШЕВШЕ</w:t>
      </w:r>
    </w:p>
    <w:p/>
    <w:p>
      <w:r>
        <w:t>Поширений контраргумент — «можна замовити дешевше в офшорі». Для цього проєкту така економія структурно недосяжна. Базова дельта offshore vs onshore становить 40–70% (DistantJob, nCube, 2024–2026), але три бар'єри прибирають дешевий сегмент ринку:</w:t>
      </w:r>
    </w:p>
    <w:p/>
    <w:p>
      <w:pPr>
        <w:pStyle w:val="Heading3"/>
      </w:pPr>
      <w:r>
        <w:t>4.1. Допуск і секретність</w:t>
      </w:r>
    </w:p>
    <w:p/>
    <w:p>
      <w:r>
        <w:t>Рішення передбачає роботу з секретною інфраструктурою енергосистеми воєнного часу. Іноземець фізично не може отримати такий допуск, а локальний інженер з допуском коштує з премією 10–25% (ClearanceJobs, IBM, CyberSecJobs). Для прикладу: Software Engineer з Top Secret у США отримує в середньому $147 524/рік проти $85–120 тис. без допуску (ZipRecruiter, 2025). Це окремий, дорожчий ринок праці, а не «дешевий розробник».</w:t>
      </w:r>
    </w:p>
    <w:p/>
    <w:p>
      <w:pPr>
        <w:pStyle w:val="Heading3"/>
      </w:pPr>
      <w:r>
        <w:t>4.2. Дефіцит power-systems-експертизи</w:t>
      </w:r>
    </w:p>
    <w:p/>
    <w:p>
      <w:r>
        <w:t>Інженери промислового керування енергосистемою (SCADA/EMS, моделювання режимів) — рідкісний ринок навіть у США: середня ставка Power EMS Engineer $125 176/рік, senior у Каліфорнії $140–170 тис. (ZipRecruiter, 2026). В Україні фахівців під Tier-1 платформу такого класу практично немає — потрібна onshore-Tier-1 експертиза або її імпорт, а не офшорні джуни.</w:t>
      </w:r>
    </w:p>
    <w:p/>
    <w:p>
      <w:pPr>
        <w:pStyle w:val="Heading3"/>
      </w:pPr>
      <w:r>
        <w:t>4.3. Воєнна надбавка</w:t>
      </w:r>
    </w:p>
    <w:p/>
    <w:p>
      <w:r>
        <w:t>Робота в зоні воєнного ризику має офіційно визнану ціну: danger pay 35% (Держдеп США для Києва, DSSR 650). Навіть застосувавши лише +15%, ми залишаємось значно нижче офіційної планки.</w:t>
      </w:r>
    </w:p>
    <w:p/>
    <w:p>
      <w:r>
        <w:t>Сукупність цих трьох факторів означає: реальна вартість години інженера на цьому проєкті — onshore-Tier-1 рівня ($130–200+/год fully-loaded), а не офшорні «$15–30/год». Дешевий сегмент тут просто не існує як опція.</w:t>
      </w:r>
    </w:p>
    <w:p/>
    <w:p>
      <w:pPr>
        <w:pStyle w:val="Heading2"/>
      </w:pPr>
      <w:r>
        <w:t>5. ЧЕСНЕ РОЗМЕЖУВАННЯ РІВНІВ СКЛАДНОСТІ</w:t>
      </w:r>
    </w:p>
    <w:p/>
    <w:p>
      <w:r>
        <w:t>Ми свідомо не оцінюємо всі три продукти за однаковими «двійниковими» ставками — це додає прозорості й знижує сукупну ціну.</w:t>
      </w:r>
    </w:p>
    <w:p/>
    <w:p>
      <w:pPr>
        <w:pStyle w:val="ListBullet"/>
      </w:pPr>
      <w:r>
        <w:t>A1 — Система управління ризиками безпеки та прогнозування загроз — побудована на повноцінній моделі фізики мережі (модель реального стану, state estimation, режими N-1, динаміка). Оцінена за преміальними ставками — повна $26,9 млн, MVP $10,8 млн. Це обґрунтовано: вузька power-systems-експертиза + клас системи, ширший за класичний EMS.</w:t>
      </w:r>
    </w:p>
    <w:p>
      <w:pPr>
        <w:pStyle w:val="ListBullet"/>
      </w:pPr>
      <w:r>
        <w:t>A2 — Система виявлення зловживань на енергоринку — це автоматизація нагляду класу SMARTS (детекція маніпуляцій РСВ/ВСР, алерти), без моделі фізики мережі. Свідомо оцінена дешевше — повна $15,1 млн, MVP $6 млн.</w:t>
      </w:r>
    </w:p>
    <w:p>
      <w:pPr>
        <w:pStyle w:val="ListBullet"/>
      </w:pPr>
      <w:r>
        <w:t>A3 — Прогноз технологічних втрат передачі — прогнозна аналітика та оптимізація (прогноз втрат, оптимізація закупівлі на компенсацію). Найдешевший із трьох — повна $9,1 млн, MVP $3,7 млн.</w:t>
      </w:r>
    </w:p>
    <w:p/>
    <w:p>
      <w:r>
        <w:t>Таке розмежування означає, що клієнт не переплачує за «двійникову» ставку там, де достатньо автоматизації чи аналітики.</w:t>
      </w:r>
    </w:p>
    <w:p/>
    <w:p>
      <w:pPr>
        <w:pStyle w:val="Heading2"/>
      </w:pPr>
      <w:r>
        <w:t>6. ВИСНОВОК</w:t>
      </w:r>
    </w:p>
    <w:p/>
    <w:p>
      <w:r>
        <w:t>Запропонована ціна обґрунтована й консервативна:</w:t>
      </w:r>
    </w:p>
    <w:p/>
    <w:p>
      <w:pPr>
        <w:pStyle w:val="ListNumber"/>
      </w:pPr>
      <w:r>
        <w:t>Вона лежить у коридорі світових аналогів, причому ближче до нижньої межі. Базою є три самостійні продукти, що впроваджуються роздільно (Модель A, $51,1 млн). Навіть за опціональну платформу-горизонт (Модель B, $38,4 млн), яка розкривається ПІСЛЯ Продукту №1, ми просимо ~9% від ціни одиничного держконтракту CDC ($443 млн) і ~13% від USDA ($300 млн) на уніфікацію критичних даних.</w:t>
      </w:r>
    </w:p>
    <w:p>
      <w:pPr>
        <w:pStyle w:val="ListNumber"/>
      </w:pPr>
      <w:r>
        <w:t>Ядро ціни A1 ($26,9 млн) зіставне з реальним контрактом Siemens для польського TSO PSE ($20 млн за SCADA/EMS), а A3 ($9,1 млн) — з пакетом EMS+SCADA+IT для TSO Боснії (€8,5 млн), з обґрунтованою надбавкою на масштаб мережі Укренерго та воєнні/безпекові вимоги.</w:t>
      </w:r>
    </w:p>
    <w:p>
      <w:pPr>
        <w:pStyle w:val="ListNumber"/>
      </w:pPr>
      <w:r>
        <w:t>Кожен множник ціноутворення взято в нижній/середній частині ринкового діапазону: overhead ×2,75 (проти комерційних 2,5–3,0), clearance +18% (проти 10–25%), воєнна надбавка лише +15% (проти офіційних 35% danger pay).</w:t>
      </w:r>
    </w:p>
    <w:p>
      <w:pPr>
        <w:pStyle w:val="ListNumber"/>
      </w:pPr>
      <w:r>
        <w:t>Дешевший офшорний шлях структурно недоступний через вимоги допуску, дефіцит power-systems-експертизи та воєнний контекст.</w:t>
      </w:r>
    </w:p>
    <w:p>
      <w:pPr>
        <w:pStyle w:val="ListNumber"/>
      </w:pPr>
      <w:r>
        <w:t>Ми чесно оцінили лише A1 за преміальними ставками моделі фізики мережі, а A2 і A3 — за нижчими ставками автоматизації та аналітики.</w:t>
      </w:r>
    </w:p>
    <w:p/>
    <w:p>
      <w:r>
        <w:t>Сукупно це означає: ціна є ринковою і навіть консервативною для рішення Tier-1 класу, призначеного для критичної інфраструктури національного оператора передачі в умовах воєнного часу.</w:t>
      </w:r>
    </w:p>
    <w:p/>
    <w:p>
      <w:pPr>
        <w:pStyle w:val="Heading2"/>
      </w:pPr>
      <w:r>
        <w:t>7. ПРАВА ВЛАСНОСТІ ТА УМОВИ</w:t>
      </w:r>
    </w:p>
    <w:p/>
    <w:p>
      <w:pPr>
        <w:pStyle w:val="ListBullet"/>
      </w:pPr>
      <w:r>
        <w:t>Замовнику передається у власність повноцінний продукт разом із вихідним кодом, без технічної залежності від Розробника. Замовник може самостійно експлуатувати, розвивати та супроводжувати рішення власними силами або силами будь-якого третього виконавця.</w:t>
      </w:r>
    </w:p>
    <w:p>
      <w:pPr>
        <w:pStyle w:val="ListBullet"/>
      </w:pPr>
      <w:r>
        <w:t>Авторські права, методологія та ноу-хау залишаються за Розробником і використовуються ним для розробки нових продуктів. Передача продукту й коду не означає передачі цих прав.</w:t>
      </w:r>
    </w:p>
    <w:p>
      <w:pPr>
        <w:pStyle w:val="ListBullet"/>
      </w:pPr>
      <w:r>
        <w:t>Розробник не несе обов'язків щодо постійного супроводу чи технічної підтримки після передачі продукту. Супровід, за потреби, оформлюється окремою домовленістю.</w:t>
      </w:r>
    </w:p>
    <w:p/>
    <w:p>
      <w:pPr>
        <w:pStyle w:val="Heading2"/>
      </w:pPr>
      <w:r>
        <w:t>8. ВЕРИФІКАЦІЯ ДЖЕРЕЛ</w:t>
      </w:r>
    </w:p>
    <w:p/>
    <w:p>
      <w:r>
        <w:t>Усі контрактні цифри та ставки в цьому документі звірено з первинними джерелами (держконтракти США, GSA-прайси, CORDIS, прес-релізи вендорів, BLS, Glassdoor, ClearanceJobs, MarketsandMarkets) і пройшли незалежну верифікацію. Цифри зі статусом «спростовано» в обґрунтування не включалися.</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40"/>
      <w:ind w:firstLine="709"/>
      <w:jc w:val="both"/>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ind w:firstLine="0"/>
      <w:outlineLvl w:val="0"/>
    </w:pPr>
    <w:rPr>
      <w:rFonts w:asciiTheme="majorHAnsi" w:eastAsiaTheme="majorEastAsia" w:hAnsiTheme="majorHAnsi" w:cstheme="majorBidi" w:ascii="Times New Roman" w:hAnsi="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ind w:firstLine="0"/>
      <w:outlineLvl w:val="1"/>
    </w:pPr>
    <w:rPr>
      <w:rFonts w:asciiTheme="majorHAnsi" w:eastAsiaTheme="majorEastAsia" w:hAnsiTheme="majorHAnsi" w:cstheme="majorBidi" w:ascii="Times New Roman" w:hAnsi="Times New Roman"/>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ind w:firstLine="0"/>
      <w:outlineLvl w:val="2"/>
    </w:pPr>
    <w:rPr>
      <w:rFonts w:asciiTheme="majorHAnsi" w:eastAsiaTheme="majorEastAsia" w:hAnsiTheme="majorHAnsi" w:cstheme="majorBidi" w:ascii="Times New Roman" w:hAnsi="Times New Roman"/>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