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sz w:val="22"/>
        </w:rPr>
        <w:t>Гриф обмеження доступу: «ЦІЛКОМ ТАЄМНО»</w:t>
        <w:br/>
        <w:t>Прим. № ____   (проєкт — до затвердження КСЗІ)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sz w:val="22"/>
              </w:rPr>
              <w:t>ПОГОДЖЕНО</w:t>
              <w:br/>
              <w:t>Генеральний директор ВИКОНАВЦЯ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  <w:tc>
          <w:tcPr>
            <w:tcW w:type="dxa" w:w="4320"/>
          </w:tcPr>
          <w:p>
            <w:r>
              <w:rPr>
                <w:sz w:val="22"/>
              </w:rPr>
              <w:t>ЗАТВЕРДЖУЮ</w:t>
              <w:br/>
              <w:t>Генеральний директор</w:t>
              <w:br/>
              <w:t>НЕК «УКРЕНЕРГО»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</w:tr>
    </w:tbl>
    <w:p/>
    <w:p/>
    <w:p/>
    <w:p>
      <w:pPr>
        <w:jc w:val="center"/>
      </w:pPr>
      <w:r>
        <w:rPr>
          <w:b/>
          <w:sz w:val="28"/>
        </w:rPr>
        <w:t>АВТОМАТИЗОВАНА СИСТЕМА</w:t>
      </w:r>
    </w:p>
    <w:p>
      <w:pPr>
        <w:jc w:val="center"/>
      </w:pPr>
      <w:r>
        <w:rPr>
          <w:b/>
          <w:sz w:val="32"/>
        </w:rPr>
        <w:t>«Комплект із трьох самостійних продуктів для ОЕС України»</w:t>
      </w:r>
    </w:p>
    <w:p>
      <w:pPr>
        <w:jc w:val="center"/>
      </w:pPr>
      <w:r>
        <w:rPr>
          <w:b w:val="0"/>
          <w:sz w:val="24"/>
        </w:rPr>
        <w:t>(3П ОЕС)</w:t>
      </w:r>
    </w:p>
    <w:p>
      <w:pPr>
        <w:jc w:val="center"/>
      </w:pPr>
      <w:r>
        <w:rPr>
          <w:b w:val="0"/>
          <w:sz w:val="24"/>
        </w:rPr>
      </w:r>
    </w:p>
    <w:p>
      <w:pPr>
        <w:jc w:val="center"/>
      </w:pPr>
      <w:r>
        <w:rPr>
          <w:b/>
          <w:sz w:val="30"/>
        </w:rPr>
        <w:t>ОГЛЯД РІШЕННЯ</w:t>
        <w:br/>
        <w:t>(Solution Overview)</w:t>
      </w:r>
    </w:p>
    <w:p/>
    <w:p/>
    <w:p>
      <w:pPr>
        <w:jc w:val="center"/>
      </w:pPr>
      <w:r>
        <w:rPr>
          <w:sz w:val="22"/>
        </w:rPr>
        <w:t>Позначення документа: UE-3PROD.SO</w:t>
      </w:r>
    </w:p>
    <w:p>
      <w:pPr>
        <w:jc w:val="center"/>
      </w:pPr>
      <w:r>
        <w:rPr>
          <w:sz w:val="22"/>
        </w:rPr>
        <w:t>Кількість аркушів: ____</w:t>
      </w:r>
    </w:p>
    <w:p>
      <w:pPr>
        <w:jc w:val="center"/>
      </w:pPr>
      <w:r>
        <w:rPr>
          <w:sz w:val="22"/>
        </w:rPr>
        <w:t>Редакція: 1.0</w:t>
      </w:r>
    </w:p>
    <w:p/>
    <w:p/>
    <w:p>
      <w:pPr>
        <w:ind w:firstLine="0"/>
        <w:jc w:val="center"/>
      </w:pPr>
      <w:r>
        <w:rPr>
          <w:b/>
          <w:sz w:val="22"/>
        </w:rPr>
        <w:t>ПРИВАТНЕ АКЦІОНЕРНЕ ТОВАРИСТВО «НАЦІОНАЛЬНА ЕНЕРГЕТИЧНА КОМПАНІЯ «УКРЕНЕРГО»</w:t>
      </w:r>
    </w:p>
    <w:p>
      <w:pPr>
        <w:ind w:firstLine="0"/>
        <w:jc w:val="center"/>
      </w:pPr>
      <w:r>
        <w:rPr>
          <w:i/>
          <w:sz w:val="20"/>
        </w:rPr>
        <w:t>Замовник: ПрАТ «НЕК «УКРЕНЕРГО» · код ЄДРПОУ 00100227 · 01032, м. Київ, вул. Симона Петлюри, 25</w:t>
      </w:r>
    </w:p>
    <w:p/>
    <w:p/>
    <w:p>
      <w:pPr>
        <w:ind w:firstLine="0"/>
        <w:jc w:val="center"/>
      </w:pPr>
      <w:r>
        <w:rPr>
          <w:sz w:val="24"/>
        </w:rPr>
        <w:t>Київ</w:t>
      </w:r>
    </w:p>
    <w:p>
      <w:pPr>
        <w:ind w:firstLine="0"/>
        <w:jc w:val="center"/>
      </w:pPr>
      <w:r>
        <w:rPr>
          <w:sz w:val="24"/>
        </w:rPr>
        <w:t>2026</w:t>
      </w:r>
    </w:p>
    <w:p>
      <w:r>
        <w:br w:type="page"/>
      </w:r>
    </w:p>
    <w:p>
      <w:pPr>
        <w:pStyle w:val="Heading1"/>
      </w:pPr>
      <w:r>
        <w:t>Огляд рішення (Solution Overview)</w:t>
      </w:r>
    </w:p>
    <w:p/>
    <w:p>
      <w:pPr>
        <w:pStyle w:val="Heading2"/>
      </w:pPr>
      <w:r>
        <w:t>Три цифрові продукти для операційної стійкості та ринкового нагляду ПрАТ «НЕК «УКРЕНЕРГО»</w:t>
      </w:r>
    </w:p>
    <w:p/>
    <w:p>
      <w:r>
        <w:t>Документ рівня: Solution Overview (місток між Executive Summary і Технічними завданнями)</w:t>
      </w:r>
    </w:p>
    <w:p>
      <w:r>
        <w:t>Аудиторія: Технічний директор (CTO), Головний диспетчер ОСП</w:t>
      </w:r>
    </w:p>
    <w:p>
      <w:r>
        <w:t>Замовник: ПрАТ «НЕК «УКРЕНЕРГО», ЄДРПОУ 00100227, 01032, м. Київ, вул. Симона Петлюри, 25</w:t>
      </w:r>
    </w:p>
    <w:p>
      <w:r>
        <w:t>Статус: фінальна редакція</w:t>
      </w:r>
    </w:p>
    <w:p/>
    <w:p/>
    <w:p>
      <w:pPr>
        <w:pStyle w:val="Heading2"/>
      </w:pPr>
      <w:r>
        <w:t>1. Призначення документа</w:t>
      </w:r>
    </w:p>
    <w:p/>
    <w:p>
      <w:r>
        <w:t>Executive Summary відповідає на питання «навіщо» і «скільки». Технічні завдання (Annex A–D, формат ГОСТ 34.602) відповідають на питання «що саме» і «як перевірити». Цей документ закриває розрив між ними: він пояснює інженерну логіку рішення — що являє собою кожен з трьох продуктів, у якому стані готовності він перебуває і чому кожен з них є самодостатнім проєктом, який можна замовити окремо.</w:t>
      </w:r>
    </w:p>
    <w:p/>
    <w:p>
      <w:r>
        <w:t>Замовник звертався насамперед за одним продуктом — системою управління ризиками безпеки та прогнозу загроз. Ми його зробили: працює демонстраційне рішення. Цей документ ставить цей продукт у центр, а решту — поруч, як рішення того ж класу, які ми можемо реалізувати точно так само окремими проєктами за запитом.</w:t>
      </w:r>
    </w:p>
    <w:p/>
    <w:p>
      <w:r>
        <w:t>Усі цифри в документі взяті зі спільної фактичної бази проєкту і верифіковані. Кожне модельне припущення позначене явно словом [ПРИПУЩЕННЯ] і там, де можливо, супроводжується якорем (аналог-кейс або діапазон-бенчмарк). Деталізація вартості та обґрунтування винесені в Annex «Кошторис» і «Обґрунтування вартості».</w:t>
      </w:r>
    </w:p>
    <w:p/>
    <w:p/>
    <w:p>
      <w:pPr>
        <w:pStyle w:val="Heading2"/>
      </w:pPr>
      <w:r>
        <w:t>2. Три окремі продукти — кожен самодостатній</w:t>
      </w:r>
    </w:p>
    <w:p/>
    <w:p>
      <w:r>
        <w:t>Ми пропонуємо три незалежні продукти. Кожен з них — це окремий проєкт: з власним технічним завданням, окремим бюджетом і окремим додатковим узгодженням. Жоден з продуктів не вимагає двох інших, щоб працювати і приносити цінність.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№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Продукт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Стан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Вартість (повна / MVP)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№1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Управління ризиками безпеки та прогноз загроз (цифровий двійник мережі)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Готове робоче демо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$26,9 млн / $10,8 млн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№2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Система виявлення зловживань на енергоринку (аналіз маніпуляцій на РСВ/ВСР «на добу наперед» / «внутрішньодобовому»)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Проєктована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$15,1 млн / $6,0 млн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№3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Прогноз технологічних втрат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Найбільш готовий за даними (база облэнерго)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$9,1 млн / $3,7 млн</w:t>
            </w:r>
          </w:p>
        </w:tc>
      </w:tr>
    </w:tbl>
    <w:p/>
    <w:p/>
    <w:p>
      <w:r>
        <w:t>Продукт №1 — головний і центральний для цієї пропозиції: саме його хотів замовник, саме його ми вже реалізували. Продукти №2 і №3 подаються поруч як рішення того самого інженерного класу, які ми можемо реалізувати точно так само — окремими проєктами, коли і якщо замовник цього забажає.</w:t>
      </w:r>
    </w:p>
    <w:p/>
    <w:p>
      <w:pPr>
        <w:ind w:left="454"/>
      </w:pPr>
      <w:r>
        <w:rPr>
          <w:i/>
        </w:rPr>
        <w:t>Принцип незалежності. Кожен продукт постачається як завершене рішення з повною передачею у власність замовника. Замовлення одного продукту не зобовʼязує замовляти інші. Звʼязати їх у спільну платформу — окрема опція (розділ 7), а не передумова.</w:t>
      </w:r>
    </w:p>
    <w:p/>
    <w:p/>
    <w:p>
      <w:pPr>
        <w:pStyle w:val="Heading2"/>
      </w:pPr>
      <w:r>
        <w:t>3. Продукт №1 — герой: управління ризиками безпеки та прогноз загроз</w:t>
      </w:r>
    </w:p>
    <w:p/>
    <w:p>
      <w:r>
        <w:t>Це продукт, заради якого замовник звернувся, і він вже існує як працююче демонстраційне рішення.</w:t>
      </w:r>
    </w:p>
    <w:p/>
    <w:p>
      <w:pPr>
        <w:pStyle w:val="Heading3"/>
      </w:pPr>
      <w:r>
        <w:t>3.1. Що це</w:t>
      </w:r>
    </w:p>
    <w:p/>
    <w:p>
      <w:r>
        <w:t>Продукт №1 — це цифровий двійник магістральної мережі: фізична модель топології, динамічної стійкості та наслідків впливів на обладнання. Він тримає актуальний стан мережі (топологію, перетоки, обмеження, стан обладнання) і дозволяє:</w:t>
      </w:r>
    </w:p>
    <w:p/>
    <w:p>
      <w:pPr>
        <w:pStyle w:val="ListBullet"/>
      </w:pPr>
      <w:r>
        <w:t>прогнозувати загрози фізичній стійкості мережі до того, як вони реалізуються;</w:t>
      </w:r>
    </w:p>
    <w:p>
      <w:pPr>
        <w:pStyle w:val="ListBullet"/>
      </w:pPr>
      <w:r>
        <w:t>оцінювати наслідки впливів (зокрема бойових) на обладнання й вузли;</w:t>
      </w:r>
    </w:p>
    <w:p>
      <w:pPr>
        <w:pStyle w:val="ListBullet"/>
      </w:pPr>
      <w:r>
        <w:t>підтримувати рішення диспетчера моделюванням «що буде, якщо».</w:t>
      </w:r>
    </w:p>
    <w:p/>
    <w:p>
      <w:r>
        <w:t>Це єдиний справжній цифровий двійник фізики мережі в нашій лінійці — преміум-клас рішення, а не аналітична надбудова над чужими даними.</w:t>
      </w:r>
    </w:p>
    <w:p/>
    <w:p>
      <w:pPr>
        <w:pStyle w:val="Heading3"/>
      </w:pPr>
      <w:r>
        <w:t>3.2. Стан готовності</w:t>
      </w:r>
    </w:p>
    <w:p/>
    <w:p>
      <w:r>
        <w:t>Концепція не на папері. Працює демонстраційний портал на репрезентативних (синтетичних/демонстраційних) даних:</w:t>
      </w:r>
    </w:p>
    <w:p/>
    <w:p>
      <w:r>
        <w:t>https://ukrenergo.radai-1984.dev</w:t>
      </w:r>
    </w:p>
    <w:p/>
    <w:p>
      <w:r>
        <w:t>Портал доводить UX і реалізовність логіки продукту №1. Він не доводить здійсненність інтеграції з бойовим SCADA/АСДУ on-prem — це окреме найбільше технічне питання, що адресується в розділі 5 і Annex A.</w:t>
      </w:r>
    </w:p>
    <w:p/>
    <w:p>
      <w:pPr>
        <w:pStyle w:val="Heading3"/>
      </w:pPr>
      <w:r>
        <w:t>3.3. Економічне обґрунтування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База розрахунку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Ефект/рік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Окупність (база)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Припущення + якір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Атака 22.03.2024: збиток обладнанню 90–100 млн EUR (~4000 млн грн)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600 млн грн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~1.9 року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[ПРИПУЩЕННЯ] відведення 15% збитку. Якір: ENTSO-E відносить попередження пошкодження обладнання через динамічну стійкість до прямих функцій класу Protection &amp; Dynamic Stability; 15% — нижня консервативна межа</w:t>
            </w:r>
          </w:p>
        </w:tc>
      </w:tr>
    </w:tbl>
    <w:p/>
    <w:p/>
    <w:p>
      <w:r>
        <w:t>Сценарії чутливості: песимістичний (~7.5% збитку) → окупність ~3.8 року; базовий (15%) → ~1.9 року; оптимістичний (30%) → ~1.0 року. Навіть у песимістичному сценарії продукт окупається в межах горизонту капітального IT-проєкту критичної інфраструктури. Вартість недовідпущеної електроенергії (VoLL) свідомо не включено — окупність 1.9 року тримається й без неї.</w:t>
      </w:r>
    </w:p>
    <w:p/>
    <w:p>
      <w:pPr>
        <w:pStyle w:val="Heading3"/>
      </w:pPr>
      <w:r>
        <w:t>3.4. Комерційна модель продукту №1</w:t>
      </w:r>
    </w:p>
    <w:p/>
    <w:p>
      <w:pPr>
        <w:pStyle w:val="ListBullet"/>
      </w:pPr>
      <w:r>
        <w:t>Разовий продаж. Повна одноразова передача продукту у власність замовника.</w:t>
      </w:r>
    </w:p>
    <w:p>
      <w:pPr>
        <w:pStyle w:val="ListBullet"/>
      </w:pPr>
      <w:r>
        <w:t>Без залежності від розробника. Замовник експлуатує продукт самостійно; технологічної залежності від виконавця немає (умови передачі — розділ 6).</w:t>
      </w:r>
    </w:p>
    <w:p/>
    <w:p>
      <w:r>
        <w:t>Курс розрахунку: 42 грн/$. Деталізація вартості — Annex «Кошторис», обґрунтування множника над собівартістю (зокрема воєнний коефіцієнт) — Annex «Обґрунтування вартості».</w:t>
      </w:r>
    </w:p>
    <w:p/>
    <w:p>
      <w:pPr>
        <w:pStyle w:val="Heading3"/>
      </w:pPr>
      <w:r>
        <w:t>3.5. Ринковий якір ціни продукту №1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Орієнтир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Сума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Чому співставний / у чому дельта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EBRD EMS+SCADA (Боснія)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EUR 8.5 млн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Найближчий регіональний аналог за фінансуванням і класом. Чому продукт №1 ($26,9 млн) дорожчий: масштаб магістральної мережі України кратно більший; продукт №1 — не лише EMS/SCADA, а фізичний двійник (динамічна стійкість, наслідки впливів на обладнання), якого боснійський контракт не містить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Siemens SCADA/EMS для PSE (Польща)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$20 млн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Співставний за класом ОСП-системи й регіоном; орієнтир порядку величини</w:t>
            </w:r>
          </w:p>
        </w:tc>
      </w:tr>
    </w:tbl>
    <w:p/>
    <w:p/>
    <w:p>
      <w:r>
        <w:t>Контракти Palantir Foundry (USDA $300 млн, CDC $443 млн) свідомо не використовуються як драйвер оцінки — це інший клас, країна і модель закупівлі.</w:t>
      </w:r>
    </w:p>
    <w:p/>
    <w:p/>
    <w:p>
      <w:pPr>
        <w:pStyle w:val="Heading2"/>
      </w:pPr>
      <w:r>
        <w:t>4. Поруч: продукти №2 і №3 — можемо так само</w:t>
      </w:r>
    </w:p>
    <w:p/>
    <w:p>
      <w:r>
        <w:t>Ці продукти подаються як рішення того самого інженерного класу, що й продукт №1, які ми готові реалізувати точно так само — кожен окремим проєктом з власним ТЗ, бюджетом і окремим узгодженням, за запитом замовника.</w:t>
      </w:r>
    </w:p>
    <w:p/>
    <w:p>
      <w:pPr>
        <w:pStyle w:val="Heading3"/>
      </w:pPr>
      <w:r>
        <w:t>4.1. Продукт №2 — система виявлення зловживань на енергоринку (аналіз маніпуляцій на РСВ/ВСР «на добу наперед» / «внутрішньодобовому»)</w:t>
      </w:r>
    </w:p>
    <w:p/>
    <w:p>
      <w:r>
        <w:t>Автоматизоване виявлення ринкових зловживань на ринках «на добу наперед» і «внутрішньодобовому», комплаєнс із Регламентом ЄС про доброчесність і прозорість оптового енергоринку (REMIT — Regulation on Wholesale Energy Market Integrity and Transparency).</w:t>
      </w:r>
    </w:p>
    <w:p/>
    <w:p>
      <w:r>
        <w:t>Важлива позиція щодо ціни: продукт №2 явно дешевший за продукт №1 — $15,1 млн проти $26,9 млн (MVP $6,0 млн проти $10,8 млн). Це навмисна позиція, а не лише арифметика: продукт №2 — аналітична система над ринковими даними, а не фізичний двійник мережі, тому й коштує менше від продукту-героя.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База розрахунку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Ефект/рік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Окупність (база)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Природа кейсу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Оборот споту 2024: 27.5 ТВт-год ≈ 134 млрд грн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134 млн грн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~4.7 року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[ПРИПУЩЕННЯ] захист 0.1% обороту</w:t>
            </w:r>
          </w:p>
        </w:tc>
      </w:tr>
    </w:tbl>
    <w:p/>
    <w:p/>
    <w:p>
      <w:r>
        <w:t>Продукт №2 — регуляторний must-have, а не бізнес-кейс через ROI. Ми чесно фіксуємо: прямий ROI слабкий (~4.7 року), і ми не продаємо цей продукт через нього. Він виправдовується вартістю невідповідності REMIT: в Україні вже накладено перший штраф за REMIT (2025), і ринковий нагляд — пряма вимога ENTSO-E для учасника спільних ринкових платформ. *(Розмір конкретного штрафу 2025 року слід уточнити з регулятора — у документі він свідомо не вигаданий.)*</w:t>
      </w:r>
    </w:p>
    <w:p/>
    <w:p>
      <w:pPr>
        <w:pStyle w:val="Heading3"/>
      </w:pPr>
      <w:r>
        <w:t>4.2. Продукт №3 — прогноз технологічних втрат</w:t>
      </w:r>
    </w:p>
    <w:p/>
    <w:p>
      <w:r>
        <w:t>Моделювання та зниження технічних і комерційних втрат у магістральній мережі. Найбільш готовий за даними з трьох продуктів — спирається на наявну базу облэнерго.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База розрахунку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Ефект/рік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Окупність (база)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Припущення + якір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Компенсація втрат у тарифі ~11 млрд грн/рік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~190 млн грн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~2.0 року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[ПРИПУЩЕННЯ] зниження втрат на 2%. Якір: бенчмарк ENTSO-E для втрат магістральних мереж 1.5–2.5%</w:t>
            </w:r>
          </w:p>
        </w:tc>
      </w:tr>
    </w:tbl>
    <w:p/>
    <w:p/>
    <w:p>
      <w:r>
        <w:t>Сценарії чутливості: песимістичний (~1%) → ~4.0 року; базовий (2%) → ~2.0 року; оптимістичний (~4%) → ~1.0 року. Втрати магістральної мережі ~1.5–2.5% — бенчмарк ENTSO-E, не офіційна цифра замовника.</w:t>
      </w:r>
    </w:p>
    <w:p/>
    <w:p>
      <w:pPr>
        <w:pStyle w:val="Heading3"/>
      </w:pPr>
      <w:r>
        <w:t>4.3. Кожен — окремий проєкт</w:t>
      </w:r>
    </w:p>
    <w:p/>
    <w:p>
      <w:r>
        <w:t>Підкреслюємо: продукти №2 і №3 — самостійні замовлення. Кожен має власне ТЗ (Annex), власний бюджет, окреме додаткове узгодження і ту саму комерційну модель, що й продукт №1: разовий продаж, повна передача у власність, без залежності від розробника.</w:t>
      </w:r>
    </w:p>
    <w:p/>
    <w:p/>
    <w:p>
      <w:pPr>
        <w:pStyle w:val="Heading2"/>
      </w:pPr>
      <w:r>
        <w:t>5. Інтеграція та технічні ризики (спільні для всіх трьох продуктів)</w:t>
      </w:r>
    </w:p>
    <w:p/>
    <w:p>
      <w:r>
        <w:t>Інтеграція — фундамент усіх трьох продуктів і головний технічний ризик. Замовник є повноправним членом ENTSO-E (синхронізація 16.03.2022, повне членство 14.12.2023), що накладає конкретні IT-зобовʼязання.</w:t>
      </w:r>
    </w:p>
    <w:p/>
    <w:p>
      <w:pPr>
        <w:pStyle w:val="ListBullet"/>
      </w:pPr>
      <w:r>
        <w:t>SCADA/АСДУ — джерело оперативного стану мережі реального часу (насамперед для продукту №1).</w:t>
      </w:r>
    </w:p>
    <w:p>
      <w:pPr>
        <w:pStyle w:val="ListBullet"/>
      </w:pPr>
      <w:r>
        <w:t>ENTSO-E — транскордонні дані, операційні та ринкові платформи; інтеграція є прямою вимогою членства (категорії Operations and Markets, IT including Cybersecurity за Catalogue of Measures, угода 28.06.2017).</w:t>
      </w:r>
    </w:p>
    <w:p/>
    <w:p>
      <w:r>
        <w:t>Контекст траєкторії членства. Інтеграція в ENTSO-E супроводжувалася зростанням транскордонної пропускної здатності з 1200 до 1700 МВт (+500 МВт, ENTSO-E, 28.11.2023). Це зростання зумовлене фізичною синхронізацією та угодами про транскордонну торгівлю, а не IT-системою окремо — наводимо як контекст, а не як ефект наших продуктів.</w:t>
      </w:r>
    </w:p>
    <w:p/>
    <w:p>
      <w:r>
        <w:t>Суверенність даних: on-prem. Усі три продукти призначені для розгортання on-premise в периметрі замовника. Дані оперативного стану магістральної мережі — критична інфраструктура; вони не залишають периметр. В умовах війни (атака 22.03.2024 завдала ОСП 90–100 млн EUR збитку обладнанню) контроль периметра визначальний.</w:t>
      </w:r>
    </w:p>
    <w:p/>
    <w:p>
      <w:r>
        <w:t>Припущення інтеграції (чесно фіксуємо): доступ до SCADA/АСДУ-протоколів у захищеному периметрі; відповідність форматам ENTSO-E (CIM/CGMES, ринкові повідомлення); узгодження вимог кібербезпеки до початку інтеграції; технічне обстеження «as-is» до фіксації обсягу. Ці ризики керовані через поетапність MVP → Повна версія.</w:t>
      </w:r>
    </w:p>
    <w:p/>
    <w:p/>
    <w:p>
      <w:pPr>
        <w:pStyle w:val="Heading2"/>
      </w:pPr>
      <w:r>
        <w:t>6. Умови передачі, авторські права та відсутність залежності</w:t>
      </w:r>
    </w:p>
    <w:p/>
    <w:p>
      <w:r>
        <w:t>Ці умови застосовуються до кожного з трьох продуктів і є обовʼязковою частиною кожного окремого проєкту.</w:t>
      </w:r>
    </w:p>
    <w:p/>
    <w:p>
      <w:pPr>
        <w:pStyle w:val="Heading3"/>
      </w:pPr>
      <w:r>
        <w:t>6.1. Повна передача у власність</w:t>
      </w:r>
    </w:p>
    <w:p/>
    <w:p>
      <w:pPr>
        <w:pStyle w:val="ListBullet"/>
      </w:pPr>
      <w:r>
        <w:t>Програмний продукт і код передаються у повну власність замовника.</w:t>
      </w:r>
    </w:p>
    <w:p>
      <w:pPr>
        <w:pStyle w:val="ListBullet"/>
      </w:pPr>
      <w:r>
        <w:t>Замовник отримує право експлуатації без технологічної залежності від розробника: системою можна користуватися самостійно, без обовʼязкового супроводу виконавцем.</w:t>
      </w:r>
    </w:p>
    <w:p/>
    <w:p>
      <w:pPr>
        <w:pStyle w:val="Heading3"/>
      </w:pPr>
      <w:r>
        <w:t>6.2. Авторські права та ноу-хау розробника</w:t>
      </w:r>
    </w:p>
    <w:p/>
    <w:p>
      <w:pPr>
        <w:pStyle w:val="ListBullet"/>
      </w:pPr>
      <w:r>
        <w:t>Авторські права, методологія, алгоритми та ноу-хау залишаються за розробником. Це дозволяє розробникові розвивати нові продукти й модулі на тій самій методологічній основі.</w:t>
      </w:r>
    </w:p>
    <w:p>
      <w:pPr>
        <w:pStyle w:val="ListBullet"/>
      </w:pPr>
      <w:r>
        <w:t>Замовник отримує повне право користування переданим продуктом; розробник зберігає інтелектуальну основу для подальшого розвитку власної лінійки рішень.</w:t>
      </w:r>
    </w:p>
    <w:p/>
    <w:p>
      <w:pPr>
        <w:pStyle w:val="Heading3"/>
      </w:pPr>
      <w:r>
        <w:t>6.3. Передача без зобовʼязань (відсутність vendor lock-in)</w:t>
      </w:r>
    </w:p>
    <w:p/>
    <w:p>
      <w:pPr>
        <w:pStyle w:val="ListBullet"/>
      </w:pPr>
      <w:r>
        <w:t>Передача є остаточною. Розробник не зобовʼязаний супроводжувати продукт після передачі.</w:t>
      </w:r>
    </w:p>
    <w:p>
      <w:pPr>
        <w:pStyle w:val="ListBullet"/>
      </w:pPr>
      <w:r>
        <w:t>Замовник вільний найняти будь-якого іншого виконавця для подальшого розвитку, доопрацювання чи супроводу переданого продукту.</w:t>
      </w:r>
    </w:p>
    <w:p>
      <w:pPr>
        <w:pStyle w:val="ListBullet"/>
      </w:pPr>
      <w:r>
        <w:t>Відсутність прив'язки до постачальника (vendor lock-in) закладена в саму модель постачання.</w:t>
      </w:r>
    </w:p>
    <w:p/>
    <w:p/>
    <w:p>
      <w:pPr>
        <w:pStyle w:val="Heading2"/>
      </w:pPr>
      <w:r>
        <w:t>7. Горизонт розвитку після Продукту №1: єдина платформа (Модель B)</w:t>
      </w:r>
    </w:p>
    <w:p/>
    <w:p>
      <w:r>
        <w:t>Цей розділ — не про сьогоднішнє рішення і не передумова цієї пропозиції. Кожен з трьох продуктів повноцінний сам по собі (розділи 3–4), і базовий шлях лишається незмінним: замовник бере Продукт №1 у власність і отримує саме те, за чим звертався.</w:t>
      </w:r>
    </w:p>
    <w:p/>
    <w:p>
      <w:r>
        <w:t>Ми лише чесно показуємо, що бачимо ширше. Коли Продукт №1 запрацює у вашому периметрі, відкривається наступний крок росту: звʼязати його з продуктами №2 і №3 спільною шиною даних — і тоді кожен продукт розкривається ширше, ніж поодинці. Сигнал ризику фізичній стійкості з Продукту №1 стає контекстом для аналізу ринку (№2) і для перерахунку технологічних втрат (№3); три двійники в спільному контурі дають більше, ніж їх проста сума (1+1+1 &gt; 3). Це перспектива, що розкривається після №1, а не зобовʼязання сьогодні.</w:t>
      </w:r>
    </w:p>
    <w:p/>
    <w:p>
      <w:r>
        <w:t>Технічно це означає: канонічна модель мережі будується один раз (у продукті №1) і живить продукти №2 і №3 через спільну шину даних і спільний агентний контур нагляду 24/7; зникає дублювання шини, інтеграційного шару та контуру моніторингу.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Модель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Повна версія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MVP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Модель A — три продукти окремо (база)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$51,1 млн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$20,5 млн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Модель B — єдина платформа (−25%, опція)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$38,4 млн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$15,4 млн</w:t>
            </w:r>
          </w:p>
        </w:tc>
      </w:tr>
    </w:tbl>
    <w:p/>
    <w:p/>
    <w:p>
      <w:r>
        <w:t>Економія −25% ($12,7 млн на повних версіях, ~$5,1 млн на MVP) — це усунення дублювання спільних шарів (шина, канонічна модель мережі, контур 24/7, інтеграційний шар), які в роздільній моделі будуються тричі, а на платформі — один раз. Це не довільна знижка: спільна інфраструктура складає орієнтовно третину вартості, тоді як прикладна логіка кожного продукту не перевикористовується.</w:t>
      </w:r>
    </w:p>
    <w:p/>
    <w:p>
      <w:pPr>
        <w:ind w:left="454"/>
      </w:pPr>
      <w:r>
        <w:rPr>
          <w:i/>
        </w:rPr>
        <w:t>Чесна мітка. Точний відсоток (25%) є модельною оцінкою на основі частки спільних шарів; його уточнюють на етапі детального проєктування. Рядкова розбивка — Annex «Кошторис».</w:t>
      </w:r>
    </w:p>
    <w:p/>
    <w:p>
      <w:r>
        <w:t>Економія −25% — це винагорода за консолідацію, а не умова: усунення дублювання спільних шарів, які в роздільній моделі будуються тричі. Не «вам треба платформу», а «коли візьмете №1 — побачите, наскільки далі це можна розвинути».</w:t>
      </w:r>
    </w:p>
    <w:p/>
    <w:p>
      <w:pPr>
        <w:ind w:left="454"/>
      </w:pPr>
      <w:r>
        <w:rPr>
          <w:i/>
        </w:rPr>
        <w:t>Перспектива розвитку (наступний крок). Сьогодні головне — Продукт №1, повноцінний і у вашій власності. Завтра, коли він стане на місце, ви побачите горизонт: ту саму канонічну модель мережі можна звʼязати з №2 і №3 спільною шиною — і кожен наступний продукт розкривається ширше за рахунок спільного контексту, а економія консолідації (−25%, $38,4 млн) приходить як винагорода за цей крок. Це шлях, який розкривається після №1, а не передумова до нього: нічого з уже зробленого при цьому не втрачається.</w:t>
      </w:r>
    </w:p>
    <w:p/>
    <w:p>
      <w:r>
        <w:t>Платформа не обовʼязкова і не зараз. Базовий шлях — три окремі продукти (Модель A). Об'єднання в платформу можна виконати пізніше, якщо замовник побачить у цьому цінність, без втрати вже зробленого.</w:t>
      </w:r>
    </w:p>
    <w:p/>
    <w:p/>
    <w:p>
      <w:pPr>
        <w:pStyle w:val="Heading2"/>
      </w:pPr>
      <w:r>
        <w:t>8. Етапність: MVP → Повна версія</w:t>
      </w:r>
    </w:p>
    <w:p/>
    <w:p>
      <w:r>
        <w:t>Кожен продукт впроваджується поетапно, щоб розподілити ризик і вартість у часі.</w:t>
      </w:r>
    </w:p>
    <w:p/>
    <w:p>
      <w:pPr>
        <w:pStyle w:val="ListBullet"/>
      </w:pPr>
      <w:r>
        <w:t>MVP (продукт №1 $10,8 млн / №2 $6,0 млн / №3 $3,7 млн) — робоче ядро продукту: підтверджує логіку та інтеграційні припущення на обмеженому контурі до повномасштабних інвестицій.</w:t>
      </w:r>
    </w:p>
    <w:p>
      <w:pPr>
        <w:pStyle w:val="ListBullet"/>
      </w:pPr>
      <w:r>
        <w:t>Повна версія (продукт №1 $26,9 млн / №2 $15,1 млн / №3 $9,1 млн) — повна фізика двійника, повне покриття правил нагляду, повна аналітика втрат.</w:t>
      </w:r>
    </w:p>
    <w:p/>
    <w:p>
      <w:r>
        <w:t>Поетапність також відповідає на питання фінансування (розділ 9).</w:t>
      </w:r>
    </w:p>
    <w:p/>
    <w:p/>
    <w:p>
      <w:pPr>
        <w:pStyle w:val="Heading2"/>
      </w:pPr>
      <w:r>
        <w:t>9. Фінансування і місце в інвестпрограмі</w:t>
      </w:r>
    </w:p>
    <w:p/>
    <w:p>
      <w:r>
        <w:t>У стані чистого збитку 37.7 млрд грн (2024) і річної інвестпрограми ~4.36 млрд грн питання фінансування — ключове. Оскільки продукти окремі, замовник може почати з одного (наприклад, з готового продукту №1) і не нести вартість усіх трьох одразу.</w:t>
      </w:r>
    </w:p>
    <w:p/>
    <w:p>
      <w:pPr>
        <w:pStyle w:val="ListBullet"/>
      </w:pPr>
      <w:r>
        <w:t>Продукт №1 повна версія — $26,9 млн ≈ 1.13 млрд грн ≈ ~26% річної інвестпрограми; MVP $10,8 млн ≈ 0.45 млрд грн ≈ ~10%, що вписується в один бюджетний рік.</w:t>
      </w:r>
    </w:p>
    <w:p>
      <w:pPr>
        <w:pStyle w:val="ListBullet"/>
      </w:pPr>
      <w:r>
        <w:t>Імовірне джерело — донорське/грантове фінансування. EBRD і USAID вже фінансують проєкти EMS/SCADA в регіоні (боснійський контракт EBRD EUR 8.5 млн); IT-відповідність ENTSO-E — природний предмет такого фінансування. Це знімає навантаження з тарифу.</w:t>
      </w:r>
    </w:p>
    <w:p>
      <w:pPr>
        <w:pStyle w:val="ListBullet"/>
      </w:pPr>
      <w:r>
        <w:t>Порівняння з ціною бездіяльності. Продукт №1 ($26,9 млн) коштує суттєво менше за збиток обладнанню від єдиного інциденту 22.03.2024 (90–100 млн EUR ≈ $96–107 млн). На тлі прямих збитків передачі $2.1 млрд (оцінка KSE) ціна продукту-героя становить ~1.3% від уже понесених втрат.</w:t>
      </w:r>
    </w:p>
    <w:p/>
    <w:p>
      <w:r>
        <w:t>Контекст масштабу втрат: прямі збитки передачі $2.1 млрд (KSE); чистий збиток Укренерго 2024 — 37.7 млрд грн; річна інвестпрограма ~4.36 млрд грн.</w:t>
      </w:r>
    </w:p>
    <w:p/>
    <w:p/>
    <w:p>
      <w:pPr>
        <w:pStyle w:val="Heading2"/>
      </w:pPr>
      <w:r>
        <w:t>10. Готові артефакти (стають Annexes)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Артефакт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Зміст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Роль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4 Технічні завдання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Формат ГОСТ 34.602 (продукт №1, №2, №3, опція-платформа)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Annex A–D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Кошторис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Деталізація вартості, рядкова розбивка спільних компонентів і коефіцієнта −25%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Annex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Обґрунтування вартості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Декомпозиція множника над собівартістю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Annex</w:t>
            </w:r>
          </w:p>
        </w:tc>
      </w:tr>
    </w:tbl>
    <w:p/>
    <w:p/>
    <w:p>
      <w:r>
        <w:t>Кожен продукт має власне окреме ТЗ — це підкреслює, що продукти замовляються незалежно.</w:t>
      </w:r>
    </w:p>
    <w:p/>
    <w:p/>
    <w:p>
      <w:pPr>
        <w:pStyle w:val="Heading2"/>
      </w:pPr>
      <w:r>
        <w:t>11. Підсумок для CTO і Головного диспетчера</w:t>
      </w:r>
    </w:p>
    <w:p/>
    <w:p>
      <w:pPr>
        <w:pStyle w:val="ListBullet"/>
      </w:pPr>
      <w:r>
        <w:t>Це три окремі продукти, кожен — самодостатній проєкт із власним ТЗ, бюджетом і окремим узгодженням. Замовлення одного не зобовʼязує замовляти інші.</w:t>
      </w:r>
    </w:p>
    <w:p>
      <w:pPr>
        <w:pStyle w:val="ListBullet"/>
      </w:pPr>
      <w:r>
        <w:t>Герой — продукт №1 (управління ризиками безпеки та прогноз загроз, цифровий двійник мережі): саме його хотів замовник, і він вже готовий як робоче демо. Ціна $26,9 млн (MVP $10,8 млн), разовий продаж, повна передача у власність, без залежності від розробника. Окупність ~1.9 року (песимістично ~3.8).</w:t>
      </w:r>
    </w:p>
    <w:p>
      <w:pPr>
        <w:pStyle w:val="ListBullet"/>
      </w:pPr>
      <w:r>
        <w:t>Поруч — продукти №2 (виявлення зловживань на енергоринку, $15,1 млн — явно дешевший за №1) і №3 (прогноз технологічних втрат, $9,1 млн, найбільш готовий за даними). Можемо реалізувати точно так само, окремими проєктами за запитом.</w:t>
      </w:r>
    </w:p>
    <w:p>
      <w:pPr>
        <w:pStyle w:val="ListBullet"/>
      </w:pPr>
      <w:r>
        <w:t>Умови передачі однакові для всіх: повна передача коду й продукту у власність + право експлуатації без технологічної залежності; авторські права, методологія та ноу-хау залишаються за розробником; передача остаточна, без зобовʼязань супроводу, без vendor lock-in — замовник вільний найняти іншого виконавця.</w:t>
      </w:r>
    </w:p>
    <w:p>
      <w:pPr>
        <w:pStyle w:val="ListBullet"/>
      </w:pPr>
      <w:r>
        <w:t>On-prem суверенність даних і інтеграція з SCADA/АСДУ та ENTSO-E — спільний фундамент і головний технічний ризик; чесно відокремлені від демо-порталу.</w:t>
      </w:r>
    </w:p>
    <w:p>
      <w:pPr>
        <w:pStyle w:val="ListBullet"/>
      </w:pPr>
      <w:r>
        <w:t>Горизонт розвитку після №1 — коли Продукт №1 запрацює, відкривається наступний крок: звʼязати три продукти спільною шиною в єдину платформу (Модель B), де кожен продукт розкривається ширше (1+1+1 &gt; 3), а консолідація приносить −25% = $38,4 млн як винагороду. Це перспектива, що розкривається після №1, а не обовʼязок і не зараз; базовий шлях — три окремі продукти.</w:t>
      </w:r>
    </w:p>
    <w:p/>
    <w:p/>
    <w:p>
      <w:r>
        <w:t>*Замовник: ПрАТ «НЕК «УКРЕНЕРГО», ЄДРПОУ 00100227, 01032, м. Київ, вул. Симона Петлюри, 25.*</w:t>
      </w:r>
    </w:p>
    <w:p>
      <w:r>
        <w:t>*Усі модельні припущення позначено [ПРИПУЩЕННЯ] і супроводжено якорем або чесним обмеженням. Окупності наведено за базовим сценарієм; чутливість — песимістичний (½) / базовий / оптимістичний (×2). Декомпозиція вартості — в Annex «Кошторис» і «Обґрунтування вартості». Кожен продукт постачається як окремий проєкт з власним ТЗ.*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40"/>
      <w:ind w:firstLine="709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ind w:firstLine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ind w:firstLine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ind w:firstLine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