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РЕЗЮМЕ ДЛЯ КЕРІВНИЦТВА</w:t>
        <w:br/>
        <w:t>(Executive Summary)</w:t>
      </w:r>
    </w:p>
    <w:p/>
    <w:p/>
    <w:p>
      <w:pPr>
        <w:jc w:val="center"/>
      </w:pPr>
      <w:r>
        <w:rPr>
          <w:sz w:val="22"/>
        </w:rPr>
        <w:t>Позначення документа: UE-3PROD.ES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Резюме для керівництва</w:t>
      </w:r>
    </w:p>
    <w:p/>
    <w:p>
      <w:pPr>
        <w:pStyle w:val="Heading2"/>
      </w:pPr>
      <w:r>
        <w:t>Управління ризиками безпеки та прогноз загроз — готовий продукт для ПрАТ «НЕК «УКРЕНЕРГО»</w:t>
      </w:r>
    </w:p>
    <w:p/>
    <w:p>
      <w:r>
        <w:t>Замовник: ПрАТ «НЕК «УКРЕНЕРГО», ЄДРПОУ 00100227, 01032, м. Київ, вул. Симона Петлюри, 25</w:t>
      </w:r>
    </w:p>
    <w:p>
      <w:r>
        <w:t>Аудиторія: Правління та Наглядова рада</w:t>
      </w:r>
    </w:p>
    <w:p>
      <w:r>
        <w:t>Статус: Пропозиція до пілоту під NDA</w:t>
      </w:r>
    </w:p>
    <w:p/>
    <w:p/>
    <w:p>
      <w:pPr>
        <w:pStyle w:val="Heading2"/>
      </w:pPr>
      <w:r>
        <w:t>1. Головне за 30 секунд</w:t>
      </w:r>
    </w:p>
    <w:p/>
    <w:p>
      <w:r>
        <w:t>Ви хотіли інструмент управління ризиками безпеки та прогнозування загроз для мережі. Ми його зробили — він уже готовий, із робочим демо.</w:t>
      </w:r>
    </w:p>
    <w:p/>
    <w:p>
      <w:r>
        <w:t>Це Продукт №1 «Управління ризиками безпеки та прогноз загроз» — цифровий двійник фізики мережі, який дає оператору швидше відновлювати схему після відключень, оптимізувати реконфігурацію та вивільняти пропускну здатність.</w:t>
      </w:r>
    </w:p>
    <w:p/>
    <w:p>
      <w:pPr>
        <w:pStyle w:val="ListBullet"/>
      </w:pPr>
      <w:r>
        <w:t>Ціна повного продукту: $26,9 млн (повна передача у власність Замовника).</w:t>
      </w:r>
    </w:p>
    <w:p>
      <w:pPr>
        <w:pStyle w:val="ListBullet"/>
      </w:pPr>
      <w:r>
        <w:t>Поетапний вхід через пілот: версія MVP — $10,8 млн, ~4–6 місяців до перших валідованих метрик на реальних даних.</w:t>
      </w:r>
    </w:p>
    <w:p>
      <w:pPr>
        <w:pStyle w:val="ListBullet"/>
      </w:pPr>
      <w:r>
        <w:t>Модель: разовий продаж, повна передача програмного продукту та коду у власність Замовника, без технологічної залежності від розробника.</w:t>
      </w:r>
    </w:p>
    <w:p/>
    <w:p>
      <w:r>
        <w:t>Поруч із готовим Продуктом №1 ми можемо реалізувати точно так само — окремими проєктами за запитом — ще два продукти: аналіз маніпуляцій на ринку та прогноз технологічних втрат (розділ 4). А коли Продукт №1 запрацює у вас, відкриється наступний крок росту — звʼязати всі три спільною шиною, після чого кожен продукт розкривається ширше (розділ 7). Це горизонт розвитку, а не зобовʼязання сьогодні.</w:t>
      </w:r>
    </w:p>
    <w:p/>
    <w:p/>
    <w:p>
      <w:pPr>
        <w:pStyle w:val="Heading2"/>
      </w:pPr>
      <w:r>
        <w:t>2. Біль мовою бізнесу</w:t>
      </w:r>
    </w:p>
    <w:p/>
    <w:p>
      <w:r>
        <w:t>Укренерго працює під безпрецедентним поєднанням воєнного, фінансового та регуляторного тиску.</w:t>
      </w:r>
    </w:p>
    <w:p/>
    <w:p>
      <w:pPr>
        <w:pStyle w:val="ListBullet"/>
      </w:pPr>
      <w:r>
        <w:t>Прямі удари по обладнанню. Кібер-фізична атака 22.03.2024 завдала оператору системи передачі збитку обладнанню на рівні 90–100 млн EUR (~4 000 млн грн). За період 2022–2025 рр. оператор зазнав серії масованих ударів по інфраструктурі передачі — це не разова подія, а новий клас регулярної загрози для фізики мережі.</w:t>
      </w:r>
    </w:p>
    <w:p>
      <w:pPr>
        <w:pStyle w:val="ListBullet"/>
      </w:pPr>
      <w:r>
        <w:t>Накопичений тягар. Прямі збитки інфраструктури передачі оцінено у $2,1 млрд (KSE). Чистий збиток Укренерго за 2024 рік — 37,7 млрд грн. При цьому річна інвестпрограма складає лише ~4,36 млрд грн/рік — кожна гривня капіталу має працювати з максимальною віддачею.</w:t>
      </w:r>
    </w:p>
    <w:p>
      <w:pPr>
        <w:pStyle w:val="ListBullet"/>
      </w:pPr>
      <w:r>
        <w:t>Регуляторний дедлайн вже настав. Після синхронізації з ENTSO-E (16.03.2022) та повного членства (14.12.2023) Укренерго зобовʼязаний виконати Catalogue of Measures (угода від 28.06.2017), яка прямо включає категорію IT including Cybersecurity (інформаційні технології, у т.ч. кібербезпека).</w:t>
      </w:r>
    </w:p>
    <w:p>
      <w:pPr>
        <w:pStyle w:val="ListBullet"/>
      </w:pPr>
      <w:r>
        <w:t>Ціна бездіяльності вимірюється ємністю. Виконання IT-вимог ENTSO-E вже довело свою цінність: воно дало +500 МВт торгової ємності (зростання з 1 200 до 1 700 МВт, ENTSO-E 28.11.2023). Невиконання — це не штраф у майбутньому, а втрачена пропускна здатність сьогодні.</w:t>
      </w:r>
    </w:p>
    <w:p/>
    <w:p/>
    <w:p>
      <w:pPr>
        <w:pStyle w:val="Heading2"/>
      </w:pPr>
      <w:r>
        <w:t>3. Продукт №1 — герой пропозиції: «Управління ризиками безпеки та прогноз загроз»</w:t>
      </w:r>
    </w:p>
    <w:p/>
    <w:p>
      <w:r>
        <w:t>Це той продукт, який Замовник хотів — і який ми вже побудували як справжній цифровий двійник фізики мережі (преміум-клас): модель топології, потоків і режимів.</w:t>
      </w:r>
    </w:p>
    <w:p/>
    <w:p>
      <w:pPr>
        <w:pStyle w:val="Heading3"/>
      </w:pPr>
      <w:r>
        <w:t>Що він реально дає (чесно, без перебільшень)</w:t>
      </w:r>
    </w:p>
    <w:p/>
    <w:p>
      <w:r>
        <w:t>Цінність розділена на дві чесні складові:</w:t>
      </w:r>
    </w:p>
    <w:p/>
    <w:p>
      <w:r>
        <w:t>(1) Операційна (головна, монетизується безпосередньо). Цифровий двійник — це модель фізики мережі. Він не зупиняє кібер-фізичну атаку і не лагодить трансформатор. Те, що він реально дає: швидше відновлення робочої схеми після відключень (модель підказує оптимальну послідовність реконфігурації), оптимізацію режимів і вивільнення пропускної здатності. Саме скорочення часу простою та оптимальний реконфіг конвертуються у гроші. Конкретний відсоток скорочення часу відновлення встановлюється на реальних даних на першому етапі пілоту — попередньо ми його не екстраполюємо, щоб не будувати окупність на одній події.</w:t>
      </w:r>
    </w:p>
    <w:p/>
    <w:p>
      <w:r>
        <w:t>(2) Опосередкований внесок у стійкість. Маючи точну актуальну модель мережі, оператор швидше відновлюється після будь-якого великого збурення — у тому числі після наслідків кібер-фізичної атаки. Це внесок у стійкість, а не пряме відвернення збитку: ми свідомо не стверджуємо причинність «двійник → −15% збитку від атаки», бо двійник не є засобом кіберзахисту.</w:t>
      </w:r>
    </w:p>
    <w:p/>
    <w:p>
      <w:r>
        <w:t>*Контекст частоти.* За 2022–2025 рр. удари по інфраструктурі передачі мали регулярний, а не разовий характер; саме тому здатність швидко відновлювати схему має повторювану річну цінність. Кількісну базу (середньорічна частота і тривалість простоїв) встановлюємо разом із робочою групою Укренерго у пілоті.</w:t>
      </w:r>
    </w:p>
    <w:p/>
    <w:p>
      <w:pPr>
        <w:pStyle w:val="Heading3"/>
      </w:pPr>
      <w:r>
        <w:t>Ціна та вхід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Позиція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Ціна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Що включено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Продукт №1 — повна версія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$26,9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Повний цифровий двійник, передача у власність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Продукт №1 — MVP (пілот)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$10,8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Перший валідований ефект на реальних даних за ~4–6 міс.</w:t>
            </w:r>
          </w:p>
        </w:tc>
      </w:tr>
    </w:tbl>
    <w:p/>
    <w:p/>
    <w:p>
      <w:r>
        <w:t>Окупність. Наведені оцінки є модельними і підлягають верифікації на даних Укренерго під час пілоту — це гіпотези, перевірка яких і є метою пілоту. Базою розрахунку є операційні втрати від простоїв і неоптимальних режимів; механізм ефекту — скорочення часу відновлення схеми та оптимізація реконфігурації. Конкретна величина встановлюється у пілоті.</w:t>
      </w:r>
    </w:p>
    <w:p/>
    <w:p>
      <w:r>
        <w:t>Демо вже працює. Не слайди, а діючий робочий портал. На період оцінки демо розгорнуте на зовнішньому майданчику виключно для ознайомлення на синтетичних/демонстраційних даних; робота з реальними даними Укренерго на цьому майданчику не ведеться (модель постачання — у розділі 6).</w:t>
      </w:r>
    </w:p>
    <w:p/>
    <w:p/>
    <w:p>
      <w:pPr>
        <w:pStyle w:val="Heading2"/>
      </w:pPr>
      <w:r>
        <w:t>4. Поруч: ще два продукти — «можемо реалізувати точно так само»</w:t>
      </w:r>
    </w:p>
    <w:p/>
    <w:p>
      <w:r>
        <w:t>Продукт №1 — повноцінний і самодостатній. Але та сама команда, той самий підхід і той самий рівень виконання дозволяють реалізувати — окремими проєктами за запитом, кожен зі своїм ТЗ, своїм бюджетом і окремим додатковим узгодженням — ще два продукти:</w:t>
      </w:r>
    </w:p>
    <w:p/>
    <w:p>
      <w:pPr>
        <w:pStyle w:val="ListBullet"/>
      </w:pPr>
      <w:r>
        <w:t>Продукт №2 — «Аналіз маніпуляцій на ринку РСВ/ВСР» (ринок «на добу наперед» / «внутрішньодобовий») — система виявлення зловживань на енергоринку, що покриває вимоги REMIT (регламент ЄС про доброчесність і прозорість оптового енергоринку). Ціна: $15,1 млн — тобто явно дешевший за Продукт №1. Обґрунтовується не ROI, а комплаєнсом: реальний штраф за зловживання на ринку вже накладено в Україні у 2025 році, тож питання не «коли окупиться», а «яка ціна не мати цієї функції, коли регулятор уже штрафує».</w:t>
      </w:r>
    </w:p>
    <w:p/>
    <w:p>
      <w:pPr>
        <w:pStyle w:val="ListBullet"/>
      </w:pPr>
      <w:r>
        <w:t>Продукт №3 — «Прогноз технологічних втрат» — прогнозна аналітика технічних втрат мережі. Ціна: $9,1 млн — це найбільш готовий до реалізації продукт, оскільки спирається на наявну базу облэнерго. Орієнтир втрат магістральної мережі — 1,5–2,5% (бенчмарк ENTSO-E, *не офіційна цифра Укренерго*); фактичний рівень і відповідну окупність встановлюємо вимірюванням на першому етапі.</w:t>
      </w:r>
    </w:p>
    <w:p/>
    <w:p>
      <w:r>
        <w:t>Кожен із трьох продуктів — окремий проєкт. Власне технічне завдання, окремий бюджет, окреме додаткове узгодження. Замовник може взяти лише Продукт №1, або будь-яку комбінацію, у будь-якій послідовності.</w:t>
      </w:r>
    </w:p>
    <w:p/>
    <w:p/>
    <w:p>
      <w:pPr>
        <w:pStyle w:val="Heading2"/>
      </w:pPr>
      <w:r>
        <w:t>5. Інвестиція: основна рекомендація — три окремі продукти</w:t>
      </w:r>
    </w:p>
    <w:p/>
    <w:p>
      <w:pPr>
        <w:pStyle w:val="Heading3"/>
      </w:pPr>
      <w:r>
        <w:t>Модель A (основна рекомендація) — три окремі продукти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№1 «Управління ризиками безпеки та прогноз загроз»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$26,9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$10,8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№2 «Аналіз маніпуляцій на ринку РСВ/ВСР»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$15,1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$6,0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№3 «Прогноз технологічних втрат»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$9,1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$3,7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Разом (Модель A, роздільно)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$51,1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—</w:t>
            </w:r>
          </w:p>
        </w:tc>
      </w:tr>
    </w:tbl>
    <w:p/>
    <w:p/>
    <w:p>
      <w:r>
        <w:t>Рекомендуємо саме Модель A — три окремі повноцінні продукти. Замовник платить лише за те, що бере; кожен продукт самодостатній; немає залежності між проєктами.</w:t>
      </w:r>
    </w:p>
    <w:p/>
    <w:p>
      <w:pPr>
        <w:pStyle w:val="Heading3"/>
      </w:pPr>
      <w:r>
        <w:t>Чому ціна обґрунтована, а не назначена</w:t>
      </w:r>
    </w:p>
    <w:p/>
    <w:p>
      <w:pPr>
        <w:pStyle w:val="ListBullet"/>
      </w:pPr>
      <w:r>
        <w:t>Ціна звірена з ринком. Якорі співставних впроваджень: Siemens SCADA/EMS для PSE (Польща) $20 млн; EMS+SCADA EBRD (Боснія) EUR 8,5 млн; Foundry для USDA $300 млн та CDC $443 млн.</w:t>
      </w:r>
    </w:p>
    <w:p>
      <w:pPr>
        <w:pStyle w:val="ListBullet"/>
      </w:pPr>
      <w:r>
        <w:t>Ціна обґрунтована від собівартості. Базою є собівартість у людино-ресурсах, поверх якої накладаються ринкові надбавки: overhead ×2,75 (управління, інфраструктура, гарантії, ризик), допуск до критичної інфраструктури ×1,18, воєнна надбавка ×1,15 — разом ×3,732. Воєнна надбавка — це українські воєнні надбавки до оплати праці та страхування ризику роботи в Києві в умовах воєнного стану.</w:t>
      </w:r>
    </w:p>
    <w:p>
      <w:pPr>
        <w:pStyle w:val="ListBullet"/>
      </w:pPr>
      <w:r>
        <w:t>Документація готова. Технічні завдання за ГОСТ 34.602, кошторис та обґрунтування вартості (70 джерел) — стають додатками (Annexes) до договору вже зараз.</w:t>
      </w:r>
    </w:p>
    <w:p/>
    <w:p/>
    <w:p>
      <w:pPr>
        <w:pStyle w:val="Heading2"/>
      </w:pPr>
      <w:r>
        <w:t>6. Авторські права, передача у власність та модель постачання</w:t>
      </w:r>
    </w:p>
    <w:p/>
    <w:p>
      <w:r>
        <w:t>Це разовий продаж із повною передачею у власність — ключова умова пропозиції.</w:t>
      </w:r>
    </w:p>
    <w:p/>
    <w:p>
      <w:pPr>
        <w:pStyle w:val="Heading3"/>
      </w:pPr>
      <w:r>
        <w:t>Авторські права та право експлуатації</w:t>
      </w:r>
    </w:p>
    <w:p/>
    <w:p>
      <w:pPr>
        <w:pStyle w:val="ListBullet"/>
      </w:pPr>
      <w:r>
        <w:t>Повна передача продукту і коду. Програмний продукт та вихідний код передаються у власність Замовника з правом експлуатації без технологічної залежності від розробника.</w:t>
      </w:r>
    </w:p>
    <w:p>
      <w:pPr>
        <w:pStyle w:val="ListBullet"/>
      </w:pPr>
      <w:r>
        <w:t>Що залишається за розробником. Авторські права, методологія, алгоритми та ноу-хау залишаються за розробником — для розвитку нових продуктів і модулів. Це не обмежує право Замовника експлуатувати переданий продукт.</w:t>
      </w:r>
    </w:p>
    <w:p/>
    <w:p>
      <w:pPr>
        <w:pStyle w:val="Heading3"/>
      </w:pPr>
      <w:r>
        <w:t>Повна передача без зобовʼязань (відсутність vendor lock-in)</w:t>
      </w:r>
    </w:p>
    <w:p/>
    <w:p>
      <w:pPr>
        <w:pStyle w:val="ListBullet"/>
      </w:pPr>
      <w:r>
        <w:t>Передача є остаточною. Після приймання Замовник може найняти будь-якого іншого виконавця для подальшого розвитку, доопрацювання чи супроводу.</w:t>
      </w:r>
    </w:p>
    <w:p>
      <w:pPr>
        <w:pStyle w:val="ListBullet"/>
      </w:pPr>
      <w:r>
        <w:t>Відсутність технологічної залежності (vendor lock-in): розробник не зобовʼязаний надавати подальший супровід — продукт працює автономно у контурі Замовника.</w:t>
      </w:r>
    </w:p>
    <w:p/>
    <w:p>
      <w:pPr>
        <w:pStyle w:val="Heading3"/>
      </w:pPr>
      <w:r>
        <w:t>Безпека даних</w:t>
      </w:r>
    </w:p>
    <w:p/>
    <w:p>
      <w:r>
        <w:t>Укренерго — критична інфраструктура під воєнним і кібертиском, тому виконавця і захист даних ми ставимо нарівні з цифрами.</w:t>
      </w:r>
    </w:p>
    <w:p/>
    <w:p>
      <w:pPr>
        <w:pStyle w:val="ListBullet"/>
      </w:pPr>
      <w:r>
        <w:t>Виконавець. Роботи виконує визначена юрособа-виконавець із командою, що проходить узгоджену з Укренерго процедуру допуску (clearance закладено у вартість).</w:t>
      </w:r>
    </w:p>
    <w:p>
      <w:pPr>
        <w:pStyle w:val="ListBullet"/>
      </w:pPr>
      <w:r>
        <w:t>Хостинг і дані. Продукт постачається у режимі on-prem або суверенного хостингу в контурі Замовника: модель топології, режимні та ринкові дані не покидають захищеного периметра Укренерго. Зовнішній демо-майданчик працює лише на синтетичних/демонстраційних даних.</w:t>
      </w:r>
    </w:p>
    <w:p>
      <w:pPr>
        <w:pStyle w:val="ListBullet"/>
      </w:pPr>
      <w:r>
        <w:t>Відповідність вимогам. Архітектура проєктується під вимоги захисту обʼєктів критичної інфраструктури та категорію Catalogue of Measures «IT including Cybersecurity».</w:t>
      </w:r>
    </w:p>
    <w:p>
      <w:pPr>
        <w:pStyle w:val="ListBullet"/>
      </w:pPr>
      <w:r>
        <w:t>Обробка даних. Усі дані для звірки моделей обробляються під NDA у режимі, погодженому з безпековим комітетом Укренерго.</w:t>
      </w:r>
    </w:p>
    <w:p/>
    <w:p>
      <w:r>
        <w:t>Без узгодження цієї моделі постачання пілот не виноситься на безпековий комітет.</w:t>
      </w:r>
    </w:p>
    <w:p/>
    <w:p/>
    <w:p>
      <w:pPr>
        <w:pStyle w:val="Heading2"/>
      </w:pPr>
      <w:r>
        <w:t>7. Перспектива розвитку: наступний крок після Продукту №1</w:t>
      </w:r>
    </w:p>
    <w:p/>
    <w:p>
      <w:r>
        <w:t>Стартувати правильно з Продукту №1 окремим проєктом — це й залишається головним. Але варто бачити ширше. Ви прийшли по один інструмент, і ми робимо саме його — повноцінно й у власність. Ми ж дивимося на крок далі: коли Продукт №1 запрацює у вашому контурі, відкривається горизонт розвитку — звʼязати його з №2 і №3 спільною шиною даних, і тоді кожен продукт розкривається ширше, ніж поодинці. Сигнал ризику з Продукту №1 стає контекстом для аналізу ринку (№2) і для перерахунку технологічних втрат (№3): три двійники в одному контурі дають більше, ніж їхня сума — 1+1+1 &gt; 3.</w:t>
      </w:r>
    </w:p>
    <w:p/>
    <w:p>
      <w:r>
        <w:t>Це перспектива, а не зобовʼязання сьогодні. Кожен із трьох продуктів повноцінний сам по собі, і взяти наступний крок можна тоді, коли у власності вже буде кілька продуктів.</w:t>
      </w:r>
    </w:p>
    <w:p/>
    <w:p>
      <w:r>
        <w:t>Технічно цей крок — обʼєднання трьох продуктів спільною шиною даних у єдину платформу (Модель B) з наскрізним контуром даних та агентним наглядом. Через усунення дублювання (єдина шина та ядро даних замість трьох окремих інтеграцій, спільна інфраструктура, одна команда інтеграції) консолідація дає економію −25%: замість $51,1 млн — $38,4 млн. Тобто економія — це винагорода за консолідацію, коли ви до неї дозрієте, а не умова входу.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Модель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Склад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Ціна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Модель A (основна рекомендація)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Три окремі продукти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$51,1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Модель B (горизонт розвитку, −25%)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Спільна шина та ядро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$38,4 млн</w:t>
            </w:r>
          </w:p>
        </w:tc>
      </w:tr>
    </w:tbl>
    <w:p/>
    <w:p/>
    <w:p/>
    <w:p>
      <w:pPr>
        <w:pStyle w:val="Heading2"/>
      </w:pPr>
      <w:r>
        <w:t>8. Орієнтовні строки</w:t>
      </w:r>
    </w:p>
    <w:p/>
    <w:p>
      <w:r>
        <w:t>Точні строки фіксуються у плані-графіку пілоту; орієнтири для рішення:</w:t>
      </w:r>
    </w:p>
    <w:p/>
    <w:p>
      <w:pPr>
        <w:pStyle w:val="ListBullet"/>
      </w:pPr>
      <w:r>
        <w:t>Пілот Продукту №1 (MVP): ~4–6 місяців до перших валідованих метрик на реальних даних (скорочення часу відновлення / оптимізація режимів).</w:t>
      </w:r>
    </w:p>
    <w:p>
      <w:pPr>
        <w:pStyle w:val="ListBullet"/>
      </w:pPr>
      <w:r>
        <w:t>Повна версія Продукту №1: фазами, з вимірюваним ефектом на кожній фазі, а не лише наприкінці.</w:t>
      </w:r>
    </w:p>
    <w:p/>
    <w:p>
      <w:r>
        <w:t>Фазовість і ранній вимірюваний ефект і є головним механізмом зниження ризику: рішення про наступну фазу ухвалюється за фактичними результатами попередньої.</w:t>
      </w:r>
    </w:p>
    <w:p/>
    <w:p/>
    <w:p>
      <w:pPr>
        <w:pStyle w:val="Heading2"/>
      </w:pPr>
      <w:r>
        <w:t>9. Що ми просимо зараз</w:t>
      </w:r>
    </w:p>
    <w:p/>
    <w:p>
      <w:r>
        <w:t>Рішення про пілот під NDA. Ми не просимо затвердити повний бюджет сьогодні. Ми просимо:</w:t>
      </w:r>
    </w:p>
    <w:p/>
    <w:p>
      <w:pPr>
        <w:pStyle w:val="ListNumber"/>
      </w:pPr>
      <w:r>
        <w:t>Підписати NDA для доступу до повного ТЗ, кошторису та обґрунтування вартості Продукту №1.</w:t>
      </w:r>
    </w:p>
    <w:p>
      <w:pPr>
        <w:pStyle w:val="ListNumber"/>
      </w:pPr>
      <w:r>
        <w:t>Узгодити модель постачання, авторських прав та безпеки даних (розділ 6) на рівні безпекового комітету.</w:t>
      </w:r>
    </w:p>
    <w:p>
      <w:pPr>
        <w:pStyle w:val="ListNumber"/>
      </w:pPr>
      <w:r>
        <w:t>Узгодити пілот на базі MVP Продукту №1 — $10,8 млн — як продукт, який Замовник хотів і який уже готовий до демонстрації.</w:t>
      </w:r>
    </w:p>
    <w:p>
      <w:pPr>
        <w:pStyle w:val="ListNumber"/>
      </w:pPr>
      <w:r>
        <w:t>Надати робочу групу з боку Укренерго для звірки даних і моделей, включно з фіксацією базових величин окупності.</w:t>
      </w:r>
    </w:p>
    <w:p/>
    <w:p>
      <w:r>
        <w:t>Це рішення з низьким ризиком: пілот за ~4–6 місяців валідує гіпотези окупності на реальних даних до повномасштабної інвестиції.</w:t>
      </w:r>
    </w:p>
    <w:p/>
    <w:p/>
    <w:p>
      <w:pPr>
        <w:pStyle w:val="Heading2"/>
      </w:pPr>
      <w:r>
        <w:t>10. Roadmap</w:t>
      </w:r>
    </w:p>
    <w:p/>
    <w:p>
      <w:r>
        <w:t>NDA + узгодження моделі безпеки та передачі даних → пілот Продукту №1 MVP (~4–6 міс., валідація гіпотез ROI на реальних даних) → повна версія Продукту №1 ($26,9 млн, передача у власність) → за запитом окремими проєктами Продукт №2 ($15,1 млн) і Продукт №3 ($9,1 млн) → горизонт розвитку: обʼєднання у єдину платформу спільною шиною (Модель B, −25%, $38,4 млн), коли у власності будуть кілька продуктів.</w:t>
      </w:r>
    </w:p>
    <w:p/>
    <w:p/>
    <w:p>
      <w:r>
        <w:t>*Усі фінансові ефекти є попередніми модельними оцінками за явно зазначеними механізмами і припущеннями та підлягають верифікації на даних Укренерго під час пілоту. Окупність Продукту №1 свідомо не екстрапольована до фіксації базових величин (частота/тривалість простоїв). Продукт №2 обґрунтовується комплаєнсом REMIT, а не ROI. Бенчмарк втрат 1,5–2,5% (Продукт №3) — орієнтир ENTSO-E, не офіційний показник Замовника. Кожен продукт реалізується як окремий проєкт із власним ТЗ, окремим бюджетом та окремим додатковим узгодженням. Програмний продукт і код передаються у власність Замовника без технологічної залежності від розробника; авторські права, методологія, алгоритми та ноу-хау залишаються за розробником.*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