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b/>
          <w:sz w:val="22"/>
        </w:rPr>
        <w:t>Гриф обмеження доступу: «ЦІЛКОМ ТАЄМНО»</w:t>
        <w:br/>
        <w:t>Прим. № ____   (проєкт — до затвердження КСЗІ)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sz w:val="22"/>
              </w:rPr>
              <w:t>ПОГОДЖЕНО</w:t>
              <w:br/>
              <w:t>Генеральний директор ВИКОНАВЦЯ</w:t>
              <w:br/>
              <w:t>____________ ______________</w:t>
              <w:br/>
              <w:t>«___» __________ 20__ р.</w:t>
              <w:br/>
              <w:t xml:space="preserve">        М.П.</w:t>
            </w:r>
          </w:p>
        </w:tc>
        <w:tc>
          <w:tcPr>
            <w:tcW w:type="dxa" w:w="4320"/>
          </w:tcPr>
          <w:p>
            <w:r>
              <w:rPr>
                <w:sz w:val="22"/>
              </w:rPr>
              <w:t>ЗАТВЕРДЖУЮ</w:t>
              <w:br/>
              <w:t>Генеральний директор</w:t>
              <w:br/>
              <w:t>НЕК «УКРЕНЕРГО»</w:t>
              <w:br/>
              <w:t>____________ ______________</w:t>
              <w:br/>
              <w:t>«___» __________ 20__ р.</w:t>
              <w:br/>
              <w:t xml:space="preserve">        М.П.</w:t>
            </w:r>
          </w:p>
        </w:tc>
      </w:tr>
    </w:tbl>
    <w:p/>
    <w:p/>
    <w:p/>
    <w:p>
      <w:pPr>
        <w:jc w:val="center"/>
      </w:pPr>
      <w:r>
        <w:rPr>
          <w:b/>
          <w:sz w:val="28"/>
        </w:rPr>
        <w:t>АВТОМАТИЗОВАНА СИСТЕМА</w:t>
      </w:r>
    </w:p>
    <w:p>
      <w:pPr>
        <w:jc w:val="center"/>
      </w:pPr>
      <w:r>
        <w:rPr>
          <w:b/>
          <w:sz w:val="32"/>
        </w:rPr>
        <w:t>«Комплект із трьох самостійних продуктів для ОЕС України»</w:t>
      </w:r>
    </w:p>
    <w:p>
      <w:pPr>
        <w:jc w:val="center"/>
      </w:pPr>
      <w:r>
        <w:rPr>
          <w:b w:val="0"/>
          <w:sz w:val="24"/>
        </w:rPr>
        <w:t>(3П ОЕС)</w:t>
      </w:r>
    </w:p>
    <w:p>
      <w:pPr>
        <w:jc w:val="center"/>
      </w:pPr>
      <w:r>
        <w:rPr>
          <w:b w:val="0"/>
          <w:sz w:val="24"/>
        </w:rPr>
      </w:r>
    </w:p>
    <w:p>
      <w:pPr>
        <w:jc w:val="center"/>
      </w:pPr>
      <w:r>
        <w:rPr>
          <w:b/>
          <w:sz w:val="30"/>
        </w:rPr>
        <w:t>РЕЄСТР РИЗИКІВ</w:t>
        <w:br/>
        <w:t>(Risk Register)</w:t>
      </w:r>
    </w:p>
    <w:p/>
    <w:p/>
    <w:p>
      <w:pPr>
        <w:jc w:val="center"/>
      </w:pPr>
      <w:r>
        <w:rPr>
          <w:sz w:val="22"/>
        </w:rPr>
        <w:t>Позначення документа: UE-3PROD.RR</w:t>
      </w:r>
    </w:p>
    <w:p>
      <w:pPr>
        <w:jc w:val="center"/>
      </w:pPr>
      <w:r>
        <w:rPr>
          <w:sz w:val="22"/>
        </w:rPr>
        <w:t>Кількість аркушів: ____</w:t>
      </w:r>
    </w:p>
    <w:p>
      <w:pPr>
        <w:jc w:val="center"/>
      </w:pPr>
      <w:r>
        <w:rPr>
          <w:sz w:val="22"/>
        </w:rPr>
        <w:t>Редакція: 1.0</w:t>
      </w:r>
    </w:p>
    <w:p/>
    <w:p/>
    <w:p>
      <w:pPr>
        <w:ind w:firstLine="0"/>
        <w:jc w:val="center"/>
      </w:pPr>
      <w:r>
        <w:rPr>
          <w:b/>
          <w:sz w:val="22"/>
        </w:rPr>
        <w:t>ПРИВАТНЕ АКЦІОНЕРНЕ ТОВАРИСТВО «НАЦІОНАЛЬНА ЕНЕРГЕТИЧНА КОМПАНІЯ «УКРЕНЕРГО»</w:t>
      </w:r>
    </w:p>
    <w:p>
      <w:pPr>
        <w:ind w:firstLine="0"/>
        <w:jc w:val="center"/>
      </w:pPr>
      <w:r>
        <w:rPr>
          <w:i/>
          <w:sz w:val="20"/>
        </w:rPr>
        <w:t>Замовник: ПрАТ «НЕК «УКРЕНЕРГО» · код ЄДРПОУ 00100227 · 01032, м. Київ, вул. Симона Петлюри, 25</w:t>
      </w:r>
    </w:p>
    <w:p/>
    <w:p/>
    <w:p>
      <w:pPr>
        <w:ind w:firstLine="0"/>
        <w:jc w:val="center"/>
      </w:pPr>
      <w:r>
        <w:rPr>
          <w:sz w:val="24"/>
        </w:rPr>
        <w:t>Київ</w:t>
      </w:r>
    </w:p>
    <w:p>
      <w:pPr>
        <w:ind w:firstLine="0"/>
        <w:jc w:val="center"/>
      </w:pPr>
      <w:r>
        <w:rPr>
          <w:sz w:val="24"/>
        </w:rPr>
        <w:t>2026</w:t>
      </w:r>
    </w:p>
    <w:p>
      <w:r>
        <w:br w:type="page"/>
      </w:r>
    </w:p>
    <w:p>
      <w:pPr>
        <w:pStyle w:val="Heading1"/>
      </w:pPr>
      <w:r>
        <w:t>Реєстр ризиків (Risk Register)</w:t>
      </w:r>
    </w:p>
    <w:p>
      <w:pPr>
        <w:pStyle w:val="Heading2"/>
      </w:pPr>
      <w:r>
        <w:t>Проєкт впровадження цифрових двійників та інтелектуальних систем для ОСП</w:t>
      </w:r>
    </w:p>
    <w:p/>
    <w:p>
      <w:r>
        <w:t>Замовник: ПрАТ «НЕК «УКРЕНЕРГО» (ЄДРПОУ 00100227), 01032, м. Київ, вул. Симона Петлюри, 25</w:t>
      </w:r>
    </w:p>
    <w:p>
      <w:r>
        <w:t>Документ: Реєстр ризиків (Annex до комерційної пропозиції)</w:t>
      </w:r>
    </w:p>
    <w:p>
      <w:r>
        <w:t>Аудиторія: Chief Risk Officer, Chief Information Security Officer, Chief Financial Officer, юридична служба, оперативно-диспетчерська служба</w:t>
      </w:r>
    </w:p>
    <w:p>
      <w:r>
        <w:t>Статус: Невіддільна частина пакета пропозиції; узгоджується з Технічними завданнями (ISO/IEC/IEEE 29148), Концепцією безпеки та ROI-обґрунтуванням</w:t>
      </w:r>
    </w:p>
    <w:p/>
    <w:p/>
    <w:p>
      <w:pPr>
        <w:pStyle w:val="Heading2"/>
      </w:pPr>
      <w:r>
        <w:t>1. Призначення та сфера застосування</w:t>
      </w:r>
    </w:p>
    <w:p/>
    <w:p>
      <w:r>
        <w:t>Цей реєстр охоплює ризики, пов'язані з впровадженням трьох продуктів і єдиної платформи:</w:t>
      </w:r>
    </w:p>
    <w:p/>
    <w:p>
      <w:pPr>
        <w:pStyle w:val="ListBullet"/>
      </w:pPr>
      <w:r>
        <w:t>Продукт №1 — Система управління ризиками безпеки та прогнозування загроз ($26.9М; MVP $10.8М; строки: MVP 6 міс / повна 14 міс)</w:t>
      </w:r>
    </w:p>
    <w:p>
      <w:pPr>
        <w:pStyle w:val="ListBullet"/>
      </w:pPr>
      <w:r>
        <w:t>Продукт №2 — Система виявлення зловживань на енергоринку — MVP $6.0М (обов'язково); повна версія $15.1М (після пілота, за gate-критеріями RV-01); строки: MVP 4 / повна 10 міс</w:t>
      </w:r>
    </w:p>
    <w:p>
      <w:pPr>
        <w:pStyle w:val="ListBullet"/>
      </w:pPr>
      <w:r>
        <w:t>Продукт №3 — Прогноз технологічних втрат передачі ($9.1М; MVP $3.7М; строки: MVP 3 / повна 8 міс)</w:t>
      </w:r>
    </w:p>
    <w:p>
      <w:pPr>
        <w:pStyle w:val="ListBullet"/>
      </w:pPr>
      <w:r>
        <w:t>Модель B — опціональна платформа (горизонт) (–25%, $38.4М; строки: MVP 9 / повна 18 міс). Три продукти є самостійними; платформа розкривається після Продукту №1 як перспектива, а не обов'язкова умова</w:t>
      </w:r>
    </w:p>
    <w:p/>
    <w:p>
      <w:r>
        <w:t>Курс для довідки: 42 грн/$ (Модель B $38.4М ≈ 1.61 млрд грн). Реєстр охоплює повний життєвий цикл: інтеграція даних, побудова та валідація моделей, дослідна експлуатація, передача в продуктив, приймання, супровід і вихід/виведення з експлуатації.</w:t>
      </w:r>
    </w:p>
    <w:p/>
    <w:p>
      <w:r>
        <w:t>Припущення (явно): оцінки ймовірності та впливу є експертними на момент подання пропозиції; вони підлягають перегляду на фазі ініціації проєкту разом із CRO/CISO/CFO Замовника. Власники ризиків з боку Замовника наведені як рольові — конкретні ПІБ закріплюються в Статуті проєкту. Ризики з боку Виконавця (розділ 3.7) мають власником Виконавця і передаються через контрактні механізми.</w:t>
      </w:r>
    </w:p>
    <w:p/>
    <w:p/>
    <w:p>
      <w:pPr>
        <w:pStyle w:val="Heading2"/>
      </w:pPr>
      <w:r>
        <w:t>2. Методологія оцінювання</w:t>
      </w:r>
    </w:p>
    <w:p/>
    <w:p>
      <w:pPr>
        <w:pStyle w:val="Heading3"/>
      </w:pPr>
      <w:r>
        <w:t>2.1 Шкала ймовірності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20"/>
              </w:rPr>
              <w:t>Рівень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Назва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Якісний опис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Орієнтовна частота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1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Дуже низька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Малоймовірно протягом проєкту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&lt; 10%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2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Низька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Можливо за несприятливих умов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10–30%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3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Середня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Цілком може статися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30–55%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4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Висока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Швидше станеться, ніж ні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55–80%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5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Дуже висока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Майже неминуче без мітигації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&gt; 80%</w:t>
            </w:r>
          </w:p>
        </w:tc>
      </w:tr>
    </w:tbl>
    <w:p/>
    <w:p/>
    <w:p>
      <w:r>
        <w:t>Обґрунтування ймовірностей. Для топ-ризиків Й супроводжується коротким обґрунтуванням (див. колонку «Обґрунтування Й» у відповідних таблицях і розділ 4). Де оцінка неоднозначна, наводиться діапазон; для планування береться верхня межа.</w:t>
      </w:r>
    </w:p>
    <w:p/>
    <w:p>
      <w:pPr>
        <w:pStyle w:val="Heading3"/>
      </w:pPr>
      <w:r>
        <w:t>2.2 Шкала впливу (зведена до грошей проєкту)</w:t>
      </w:r>
    </w:p>
    <w:p/>
    <w:p>
      <w:r>
        <w:t>Бюджет-орієнтир для калібрування: Модель B = $38.4М ≈ 1.61 млрд грн. Шкала впливу прив'язана до цієї величини, щоб рівень 5 коректно охоплював втрати, співмірні з усім проєктом і більші за нього.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20"/>
              </w:rPr>
              <w:t>Рівень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Назва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Вплив на проєкт / диспетчеризацію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Орієнтир у грошах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1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Незначний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Косметичний, без впливу на строки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&lt; 5 млн грн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2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Помірний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Зсув ≤ 2 тижні, локальне доопрацювання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5–25 млн грн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3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Суттєвий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Зсув 1–2 міс, ескалація до Керівного комітету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25–100 млн грн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4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Критичний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Зсув &gt; 2 міс, ризик ключових цілей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100–500 млн грн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5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Катастрофічний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Загроза real-time диспетчеризації / безпеці КІ; втрати, співмірні з бюджетом проєкту або більші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&gt; 500 млн грн (до й понад 1.61 млрд грн)</w:t>
            </w:r>
          </w:p>
        </w:tc>
      </w:tr>
    </w:tbl>
    <w:p/>
    <w:p/>
    <w:p>
      <w:r>
        <w:t>*Примітка:* рівень 5 свідомо є відкритою верхньою зоною. Катастрофічні ризики КІ (напр. C-01) можуть давати втрати, що перевищують вартість усього проєкту; для них грошова експозиція оцінюється окремо (див. §2.4 і розділ 4) і не обмежується сумою контракту.</w:t>
      </w:r>
    </w:p>
    <w:p/>
    <w:p>
      <w:pPr>
        <w:pStyle w:val="Heading3"/>
      </w:pPr>
      <w:r>
        <w:t>2.3 Матриця ймовірність × вплив (рівень ризику = Й × В)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rPr>
                <w:b/>
                <w:sz w:val="20"/>
              </w:rPr>
              <w:t>Й \ В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1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2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3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4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5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5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5 🟡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10 🟠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15 🔴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20 🔴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25 🔴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4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4 🟢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8 🟡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12 🟠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16 🔴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20 🔴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3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3 🟢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6 🟡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9 🟠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12 🟠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15 🔴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2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2 🟢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4 🟢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6 🟡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8 🟡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10 🟠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1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1 🟢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2 🟢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3 🟢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4 🟢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5 🟡</w:t>
            </w:r>
          </w:p>
        </w:tc>
      </w:tr>
    </w:tbl>
    <w:p/>
    <w:p/>
    <w:p>
      <w:r>
        <w:t>Зони реагування:</w:t>
      </w:r>
    </w:p>
    <w:p>
      <w:pPr>
        <w:pStyle w:val="ListBullet"/>
      </w:pPr>
      <w:r>
        <w:t>🟢 Низький (1–4): прийняти, моніторити в робочому порядку.</w:t>
      </w:r>
    </w:p>
    <w:p>
      <w:pPr>
        <w:pStyle w:val="ListBullet"/>
      </w:pPr>
      <w:r>
        <w:t>🟡 Помірний (5–8): мітигація на рівні керівника проєкту, контроль щомісяця.</w:t>
      </w:r>
    </w:p>
    <w:p>
      <w:pPr>
        <w:pStyle w:val="ListBullet"/>
      </w:pPr>
      <w:r>
        <w:t>🟠 Підвищений (9–14): активна мітигація + контроль Керівного комітету, ескалація за тригером.</w:t>
      </w:r>
    </w:p>
    <w:p>
      <w:pPr>
        <w:pStyle w:val="ListBullet"/>
      </w:pPr>
      <w:r>
        <w:t>🔴 Високий/критичний (15–25): план реагування обов'язковий, власник на рівні C-level, контроль щотижня.</w:t>
      </w:r>
    </w:p>
    <w:p/>
    <w:p>
      <w:r>
        <w:t>Правило окремої ваги кіберризиків КІ (об'єктивне й однакове для всіх). Будь-який ризик категорії «Кібербезпека / критична інфраструктура» (ID виду C-*) з формальним рівнем ≥ 9 автоматично трактується як 🔴 — без винятків і без ручного відбору. Правило застосовується до всіх C-* однаково (наслідки для C-04 і C-05 — у §2.5 та розділі 3.3). Обґрунтування: Замовник — оператор КІ в умовах активної цільової загрози; прецедент — атака 22.03.2024, збиток ОСП 90–100 млн EUR.</w:t>
      </w:r>
    </w:p>
    <w:p/>
    <w:p>
      <w:pPr>
        <w:pStyle w:val="Heading3"/>
      </w:pPr>
      <w:r>
        <w:t>2.4 Грошова експозиція та ризик-бюджет (contingency)</w:t>
      </w:r>
    </w:p>
    <w:p/>
    <w:p>
      <w:r>
        <w:t>Для топ-ризиків наводиться орієнтовна грошова експозиція як добуток Й×В у гривні: середина грошового діапазону рівня В, помножена на середину частотного діапазону рівня Й (консервативно). Це індикативна величина для планування резерву, а не зобов'язання.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b/>
                <w:sz w:val="20"/>
              </w:rPr>
              <w:t>ID</w:t>
            </w:r>
          </w:p>
        </w:tc>
        <w:tc>
          <w:tcPr>
            <w:tcW w:type="dxa" w:w="1728"/>
          </w:tcPr>
          <w:p>
            <w:r>
              <w:rPr>
                <w:b/>
                <w:sz w:val="20"/>
              </w:rPr>
              <w:t>Й (сер.)</w:t>
            </w:r>
          </w:p>
        </w:tc>
        <w:tc>
          <w:tcPr>
            <w:tcW w:type="dxa" w:w="1728"/>
          </w:tcPr>
          <w:p>
            <w:r>
              <w:rPr>
                <w:b/>
                <w:sz w:val="20"/>
              </w:rPr>
              <w:t>В: грош. діапазон (середина)</w:t>
            </w:r>
          </w:p>
        </w:tc>
        <w:tc>
          <w:tcPr>
            <w:tcW w:type="dxa" w:w="1728"/>
          </w:tcPr>
          <w:p>
            <w:r>
              <w:rPr>
                <w:b/>
                <w:sz w:val="20"/>
              </w:rPr>
              <w:t>Орієнтовна очікувана експозиція (грн)</w:t>
            </w:r>
          </w:p>
        </w:tc>
        <w:tc>
          <w:tcPr>
            <w:tcW w:type="dxa" w:w="1728"/>
          </w:tcPr>
          <w:p>
            <w:r>
              <w:rPr>
                <w:b/>
                <w:sz w:val="20"/>
              </w:rPr>
              <w:t>Примітка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C-01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5 → 0.85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&gt; 500 млн (нижня межа 500 млн; КІ — без верхньої межі)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≥ ~425 млн грн (нижня оцінка; реально вище)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Катастрофа КІ; не обмежена бюджетом проєкту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R-04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4 → 0.68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100–500 млн (≈300 млн)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~204 млн грн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Воєнний стан, множник x1.15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T-01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4 → 0.68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100–500 млн (≈300 млн)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~204 млн грн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Якість даних — фундамент цінності A1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C-02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3 → 0.43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&gt; 500 млн (нижня 500 млн)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≥ ~215 млн грн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Ланцюг постачання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C-03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3 → 0.43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&gt; 500 млн (нижня 500 млн)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≥ ~215 млн грн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Витік топології/режимів</w:t>
            </w:r>
          </w:p>
        </w:tc>
      </w:tr>
    </w:tbl>
    <w:p/>
    <w:p/>
    <w:p>
      <w:r>
        <w:t>Сумарний ризик-бюджет (управлінський резерв). Реєстр передбачає два резерви, узгоджувані на ініціації:</w:t>
      </w:r>
    </w:p>
    <w:p>
      <w:pPr>
        <w:pStyle w:val="ListBullet"/>
      </w:pPr>
      <w:r>
        <w:t>Резерв строків: орієнтовно 10–15% строку для фаз з переважанням 🔴 (припущення).</w:t>
      </w:r>
    </w:p>
    <w:p>
      <w:pPr>
        <w:pStyle w:val="ListBullet"/>
      </w:pPr>
      <w:r>
        <w:t>Грошовий резерв (contingency): пропонується закласти X% від бюджету Моделі B ($38.4М) як управлінський резерв; орієнтир для обговорення з CFO — 10–15% ($3.8–5.8М ≈ 161–242 млн грн), що покриває очікувану експозицію керованих 🟠/🔴-ризиків (без катастрофічних КІ-сценаріїв, які закриваються кіберстрахуванням і відповідністю ENTSO-E, а не проєктним резервом). Точний X% узгоджується з кошторисом на фазі ініціації.</w:t>
      </w:r>
    </w:p>
    <w:p/>
    <w:p>
      <w:r>
        <w:t>*Застереження:* грошові оцінки індикативні, базуються на середині інтервалів шкали §2.2 і калібруються разом із CFO/CRO; вони не є фіксованими сумами збитку.</w:t>
      </w:r>
    </w:p>
    <w:p/>
    <w:p>
      <w:pPr>
        <w:pStyle w:val="Heading3"/>
      </w:pPr>
      <w:r>
        <w:t>2.5 Журнал застосування правила КІ (трасування, без ручного підбору)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b/>
                <w:sz w:val="20"/>
              </w:rPr>
              <w:t>ID</w:t>
            </w:r>
          </w:p>
        </w:tc>
        <w:tc>
          <w:tcPr>
            <w:tcW w:type="dxa" w:w="1728"/>
          </w:tcPr>
          <w:p>
            <w:r>
              <w:rPr>
                <w:b/>
                <w:sz w:val="20"/>
              </w:rPr>
              <w:t>Формальний рівень</w:t>
            </w:r>
          </w:p>
        </w:tc>
        <w:tc>
          <w:tcPr>
            <w:tcW w:type="dxa" w:w="1728"/>
          </w:tcPr>
          <w:p>
            <w:r>
              <w:rPr>
                <w:b/>
                <w:sz w:val="20"/>
              </w:rPr>
              <w:t>Категорія</w:t>
            </w:r>
          </w:p>
        </w:tc>
        <w:tc>
          <w:tcPr>
            <w:tcW w:type="dxa" w:w="1728"/>
          </w:tcPr>
          <w:p>
            <w:r>
              <w:rPr>
                <w:b/>
                <w:sz w:val="20"/>
              </w:rPr>
              <w:t>Дія за правилом §2.3</w:t>
            </w:r>
          </w:p>
        </w:tc>
        <w:tc>
          <w:tcPr>
            <w:tcW w:type="dxa" w:w="1728"/>
          </w:tcPr>
          <w:p>
            <w:r>
              <w:rPr>
                <w:b/>
                <w:sz w:val="20"/>
              </w:rPr>
              <w:t>Результат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C-01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20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КІ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вже 🔴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🔴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C-02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15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КІ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вже 🔴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🔴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C-03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15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КІ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вже 🔴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🔴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C-04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12 (≥9)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КІ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ескалація до 🔴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🔴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C-05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10 (≥9)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КІ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ескалація до 🔴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🔴</w:t>
            </w:r>
          </w:p>
        </w:tc>
      </w:tr>
    </w:tbl>
    <w:p/>
    <w:p/>
    <w:p>
      <w:r>
        <w:t>Усі C-* з рівнем ≥ 9 — червоні. Винятків немає.</w:t>
      </w:r>
    </w:p>
    <w:p/>
    <w:p/>
    <w:p>
      <w:pPr>
        <w:pStyle w:val="Heading2"/>
      </w:pPr>
      <w:r>
        <w:t>3. Зведений реєстр ризиків</w:t>
      </w:r>
    </w:p>
    <w:p/>
    <w:p>
      <w:r>
        <w:t>Колонки: ID; категорія; опис; ймовірність (Й); вплив (В); рівень (Й×В); зона; власник; стратегія.</w:t>
      </w:r>
    </w:p>
    <w:p/>
    <w:p>
      <w:pPr>
        <w:pStyle w:val="Heading3"/>
      </w:pPr>
      <w:r>
        <w:t>3.1 Технічні ризики (інтеграція / дані / продуктивність)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>
        <w:tc>
          <w:tcPr>
            <w:tcW w:type="dxa" w:w="960"/>
          </w:tcPr>
          <w:p>
            <w:r>
              <w:rPr>
                <w:b/>
                <w:sz w:val="20"/>
              </w:rPr>
              <w:t>ID</w:t>
            </w:r>
          </w:p>
        </w:tc>
        <w:tc>
          <w:tcPr>
            <w:tcW w:type="dxa" w:w="960"/>
          </w:tcPr>
          <w:p>
            <w:r>
              <w:rPr>
                <w:b/>
                <w:sz w:val="20"/>
              </w:rPr>
              <w:t>Ризик</w:t>
            </w:r>
          </w:p>
        </w:tc>
        <w:tc>
          <w:tcPr>
            <w:tcW w:type="dxa" w:w="960"/>
          </w:tcPr>
          <w:p>
            <w:r>
              <w:rPr>
                <w:b/>
                <w:sz w:val="20"/>
              </w:rPr>
              <w:t>Й</w:t>
            </w:r>
          </w:p>
        </w:tc>
        <w:tc>
          <w:tcPr>
            <w:tcW w:type="dxa" w:w="960"/>
          </w:tcPr>
          <w:p>
            <w:r>
              <w:rPr>
                <w:b/>
                <w:sz w:val="20"/>
              </w:rPr>
              <w:t>В</w:t>
            </w:r>
          </w:p>
        </w:tc>
        <w:tc>
          <w:tcPr>
            <w:tcW w:type="dxa" w:w="960"/>
          </w:tcPr>
          <w:p>
            <w:r>
              <w:rPr>
                <w:b/>
                <w:sz w:val="20"/>
              </w:rPr>
              <w:t>Рівень</w:t>
            </w:r>
          </w:p>
        </w:tc>
        <w:tc>
          <w:tcPr>
            <w:tcW w:type="dxa" w:w="960"/>
          </w:tcPr>
          <w:p>
            <w:r>
              <w:rPr>
                <w:b/>
                <w:sz w:val="20"/>
              </w:rPr>
              <w:t>Зона</w:t>
            </w:r>
          </w:p>
        </w:tc>
        <w:tc>
          <w:tcPr>
            <w:tcW w:type="dxa" w:w="960"/>
          </w:tcPr>
          <w:p>
            <w:r>
              <w:rPr>
                <w:b/>
                <w:sz w:val="20"/>
              </w:rPr>
              <w:t>Власник</w:t>
            </w:r>
          </w:p>
        </w:tc>
        <w:tc>
          <w:tcPr>
            <w:tcW w:type="dxa" w:w="960"/>
          </w:tcPr>
          <w:p>
            <w:r>
              <w:rPr>
                <w:b/>
                <w:sz w:val="20"/>
              </w:rPr>
              <w:t>Обґрунтування Й</w:t>
            </w:r>
          </w:p>
        </w:tc>
        <w:tc>
          <w:tcPr>
            <w:tcW w:type="dxa" w:w="960"/>
          </w:tcPr>
          <w:p>
            <w:r>
              <w:rPr>
                <w:b/>
                <w:sz w:val="20"/>
              </w:rPr>
              <w:t>Стратегія</w:t>
            </w:r>
          </w:p>
        </w:tc>
      </w:tr>
      <w:tr>
        <w:tc>
          <w:tcPr>
            <w:tcW w:type="dxa" w:w="960"/>
          </w:tcPr>
          <w:p>
            <w:r>
              <w:rPr>
                <w:sz w:val="20"/>
              </w:rPr>
              <w:t>T-01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Неповнота / низька якість історичних даних SCADA/телеметрії для навчання моделей A1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4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4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16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🔴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Тех. директор проєкту (Виконавець) + ІТ Замовника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Типова якість історичних OT-даних в умовах фрагментованої телеметрії та воєнних пошкоджень об'єктів — пропуски очікувані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Знизити: запит даних (Annex) + етап профілювання якості; fallback на синтетичні/фізичні моделі</w:t>
            </w:r>
          </w:p>
        </w:tc>
      </w:tr>
      <w:tr>
        <w:tc>
          <w:tcPr>
            <w:tcW w:type="dxa" w:w="960"/>
          </w:tcPr>
          <w:p>
            <w:r>
              <w:rPr>
                <w:sz w:val="20"/>
              </w:rPr>
              <w:t>T-02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Складність інтеграції з наявними EMS/SCADA та галузевими протоколами (IEC 61850/60870)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3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4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12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🟠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Архітектор інтеграції (Виконавець)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Різнорідний парк EMS/SCADA; інтеграційні роботи майже завжди дають часткові розбіжності інтерфейсів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Знизити: PoC-конектор на MVP-фазі; адаптерний шар; узгодження інтерфейсів у ТЗ 29148</w:t>
            </w:r>
          </w:p>
        </w:tc>
      </w:tr>
      <w:tr>
        <w:tc>
          <w:tcPr>
            <w:tcW w:type="dxa" w:w="960"/>
          </w:tcPr>
          <w:p>
            <w:r>
              <w:rPr>
                <w:sz w:val="20"/>
              </w:rPr>
              <w:t>T-03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Недосягнення цільової продуктивності/латентності двійника A1 у режимі, близькому до real-time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3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4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12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🟠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Архітектор A1 (Виконавець)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Real-time обмеження жорсткі; ризик помірний за умови НФВ і навантажувального тесту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Знизити: НФВ у ТЗ; навантажувальне тестування на MVP; горизонтальне масштабування обчислень</w:t>
            </w:r>
          </w:p>
        </w:tc>
      </w:tr>
      <w:tr>
        <w:tc>
          <w:tcPr>
            <w:tcW w:type="dxa" w:w="960"/>
          </w:tcPr>
          <w:p>
            <w:r>
              <w:rPr>
                <w:sz w:val="20"/>
              </w:rPr>
              <w:t>T-04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Дрейф моделей втрат A3 / нагляду A2 при зміні режимів мережі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3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3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9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🟠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Lead Data Science (Виконавець)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Режими мережі в воєнний час нестабільні — дрейф моделей очікуваний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Знизити: моніторинг дрейфу, періодичне перенавчання, реактивний перерахунок (демо-контур)</w:t>
            </w:r>
          </w:p>
        </w:tc>
      </w:tr>
      <w:tr>
        <w:tc>
          <w:tcPr>
            <w:tcW w:type="dxa" w:w="960"/>
          </w:tcPr>
          <w:p>
            <w:r>
              <w:rPr>
                <w:sz w:val="20"/>
              </w:rPr>
              <w:t>T-05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Технічний борг при стисканні строків MVP (A3 — 3 міс)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3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2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6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🟡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Керівник проєкту (Виконавець)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Стислий MVP-строк підвищує ймовірність компромісів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Знизити: чіткий MVP-скоуп, фіксація архітектурних рішень до коду</w:t>
            </w:r>
          </w:p>
        </w:tc>
      </w:tr>
      <w:tr>
        <w:tc>
          <w:tcPr>
            <w:tcW w:type="dxa" w:w="960"/>
          </w:tcPr>
          <w:p>
            <w:r>
              <w:rPr>
                <w:sz w:val="20"/>
              </w:rPr>
              <w:t>T-06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Розбіжність даних між трьома продуктами в Моделі B (єдина платформа)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2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3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6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🟡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Архітектор платформи (Виконавець)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Актуальний ЛИШЕ для опціональної Моделі B; при незалежній роботі трьох продуктів ризик неактуальний. Єдина модель даних знижує ймовірність; валідовано наскрізним демо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Знизити (тільки в межах Моделі B): єдина модель даних, наскрізний сценарій A1→Шина→A2→A3 (валідовано в демо)</w:t>
            </w:r>
          </w:p>
        </w:tc>
      </w:tr>
    </w:tbl>
    <w:p/>
    <w:p/>
    <w:p>
      <w:pPr>
        <w:pStyle w:val="Heading3"/>
      </w:pPr>
      <w:r>
        <w:t>3.2 Операційні ризики (вплив на real-time диспетчеризацію)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>
        <w:tc>
          <w:tcPr>
            <w:tcW w:type="dxa" w:w="960"/>
          </w:tcPr>
          <w:p>
            <w:r>
              <w:rPr>
                <w:b/>
                <w:sz w:val="20"/>
              </w:rPr>
              <w:t>ID</w:t>
            </w:r>
          </w:p>
        </w:tc>
        <w:tc>
          <w:tcPr>
            <w:tcW w:type="dxa" w:w="960"/>
          </w:tcPr>
          <w:p>
            <w:r>
              <w:rPr>
                <w:b/>
                <w:sz w:val="20"/>
              </w:rPr>
              <w:t>Ризик</w:t>
            </w:r>
          </w:p>
        </w:tc>
        <w:tc>
          <w:tcPr>
            <w:tcW w:type="dxa" w:w="960"/>
          </w:tcPr>
          <w:p>
            <w:r>
              <w:rPr>
                <w:b/>
                <w:sz w:val="20"/>
              </w:rPr>
              <w:t>Й</w:t>
            </w:r>
          </w:p>
        </w:tc>
        <w:tc>
          <w:tcPr>
            <w:tcW w:type="dxa" w:w="960"/>
          </w:tcPr>
          <w:p>
            <w:r>
              <w:rPr>
                <w:b/>
                <w:sz w:val="20"/>
              </w:rPr>
              <w:t>В</w:t>
            </w:r>
          </w:p>
        </w:tc>
        <w:tc>
          <w:tcPr>
            <w:tcW w:type="dxa" w:w="960"/>
          </w:tcPr>
          <w:p>
            <w:r>
              <w:rPr>
                <w:b/>
                <w:sz w:val="20"/>
              </w:rPr>
              <w:t>Рівень</w:t>
            </w:r>
          </w:p>
        </w:tc>
        <w:tc>
          <w:tcPr>
            <w:tcW w:type="dxa" w:w="960"/>
          </w:tcPr>
          <w:p>
            <w:r>
              <w:rPr>
                <w:b/>
                <w:sz w:val="20"/>
              </w:rPr>
              <w:t>Зона</w:t>
            </w:r>
          </w:p>
        </w:tc>
        <w:tc>
          <w:tcPr>
            <w:tcW w:type="dxa" w:w="960"/>
          </w:tcPr>
          <w:p>
            <w:r>
              <w:rPr>
                <w:b/>
                <w:sz w:val="20"/>
              </w:rPr>
              <w:t>Власник</w:t>
            </w:r>
          </w:p>
        </w:tc>
        <w:tc>
          <w:tcPr>
            <w:tcW w:type="dxa" w:w="960"/>
          </w:tcPr>
          <w:p>
            <w:r>
              <w:rPr>
                <w:b/>
                <w:sz w:val="20"/>
              </w:rPr>
              <w:t>Обґрунтування Й</w:t>
            </w:r>
          </w:p>
        </w:tc>
        <w:tc>
          <w:tcPr>
            <w:tcW w:type="dxa" w:w="960"/>
          </w:tcPr>
          <w:p>
            <w:r>
              <w:rPr>
                <w:b/>
                <w:sz w:val="20"/>
              </w:rPr>
              <w:t>Стратегія</w:t>
            </w:r>
          </w:p>
        </w:tc>
      </w:tr>
      <w:tr>
        <w:tc>
          <w:tcPr>
            <w:tcW w:type="dxa" w:w="960"/>
          </w:tcPr>
          <w:p>
            <w:r>
              <w:rPr>
                <w:sz w:val="20"/>
              </w:rPr>
              <w:t>O-01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Вплив інтеграційних робіт на безперервність оперативно-диспетчерського керування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3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5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15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🔴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ОДС Замовника + Керівник впровадження (Виконавець)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Підвищено з Й2 до Й3: інтеграція в живий диспетчерський контур під час експлуатації об'єктивно підвищує ймовірність впливу; навіть read-only підключення створює навантаження і ризик помилки конфігурації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Знизити/уникнути: read-only підключення до продуктиву на старті; зміни лише через тестовий контур; вікна робіт за погодженням ОДС; відкат за процедурою</w:t>
            </w:r>
          </w:p>
        </w:tc>
      </w:tr>
      <w:tr>
        <w:tc>
          <w:tcPr>
            <w:tcW w:type="dxa" w:w="960"/>
          </w:tcPr>
          <w:p>
            <w:r>
              <w:rPr>
                <w:sz w:val="20"/>
              </w:rPr>
              <w:t>O-02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Хибна довіра диспетчера до рекомендацій двійника (надмірна автоматизація)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3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4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12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🟠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ОДС Замовника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Поведінковий ризик автоматизації добре задокументований; зростає, якщо A2 (повна) дає рекомендації без верифікації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Знизити: human-in-the-loop, A1/A2 як радник (advisory), а не керування; навчання персоналу</w:t>
            </w:r>
          </w:p>
        </w:tc>
      </w:tr>
      <w:tr>
        <w:tc>
          <w:tcPr>
            <w:tcW w:type="dxa" w:w="960"/>
          </w:tcPr>
          <w:p>
            <w:r>
              <w:rPr>
                <w:sz w:val="20"/>
              </w:rPr>
              <w:t>O-03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Деградація/відмова системи нагляду A2 під час критичних ринкових подій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2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3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6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🟡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Власник A2 (Виконавець)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Резервування знижує ймовірність до низької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Знизити: резервування, graceful degradation, алертинг чергової зміни</w:t>
            </w:r>
          </w:p>
        </w:tc>
      </w:tr>
      <w:tr>
        <w:tc>
          <w:tcPr>
            <w:tcW w:type="dxa" w:w="960"/>
          </w:tcPr>
          <w:p>
            <w:r>
              <w:rPr>
                <w:sz w:val="20"/>
              </w:rPr>
              <w:t>O-04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Перевантаження персоналу ОДС під час паралельної експлуатації старого і нового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3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3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9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🟠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ОДС Замовника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Паралельний прогін двох процесів — стале джерело навантаження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Знизити: поетапний rollout, паралельний прогін без зняття старого процесу</w:t>
            </w:r>
          </w:p>
        </w:tc>
      </w:tr>
    </w:tbl>
    <w:p/>
    <w:p/>
    <w:p>
      <w:pPr>
        <w:pStyle w:val="Heading3"/>
      </w:pPr>
      <w:r>
        <w:t>3.3 Кібербезпека / критична інфраструктура (окрема вага — усі ≥9 → 🔴)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>
        <w:tc>
          <w:tcPr>
            <w:tcW w:type="dxa" w:w="960"/>
          </w:tcPr>
          <w:p>
            <w:r>
              <w:rPr>
                <w:b/>
                <w:sz w:val="20"/>
              </w:rPr>
              <w:t>ID</w:t>
            </w:r>
          </w:p>
        </w:tc>
        <w:tc>
          <w:tcPr>
            <w:tcW w:type="dxa" w:w="960"/>
          </w:tcPr>
          <w:p>
            <w:r>
              <w:rPr>
                <w:b/>
                <w:sz w:val="20"/>
              </w:rPr>
              <w:t>Ризик</w:t>
            </w:r>
          </w:p>
        </w:tc>
        <w:tc>
          <w:tcPr>
            <w:tcW w:type="dxa" w:w="960"/>
          </w:tcPr>
          <w:p>
            <w:r>
              <w:rPr>
                <w:b/>
                <w:sz w:val="20"/>
              </w:rPr>
              <w:t>Й</w:t>
            </w:r>
          </w:p>
        </w:tc>
        <w:tc>
          <w:tcPr>
            <w:tcW w:type="dxa" w:w="960"/>
          </w:tcPr>
          <w:p>
            <w:r>
              <w:rPr>
                <w:b/>
                <w:sz w:val="20"/>
              </w:rPr>
              <w:t>В</w:t>
            </w:r>
          </w:p>
        </w:tc>
        <w:tc>
          <w:tcPr>
            <w:tcW w:type="dxa" w:w="960"/>
          </w:tcPr>
          <w:p>
            <w:r>
              <w:rPr>
                <w:b/>
                <w:sz w:val="20"/>
              </w:rPr>
              <w:t>Рівень</w:t>
            </w:r>
          </w:p>
        </w:tc>
        <w:tc>
          <w:tcPr>
            <w:tcW w:type="dxa" w:w="960"/>
          </w:tcPr>
          <w:p>
            <w:r>
              <w:rPr>
                <w:b/>
                <w:sz w:val="20"/>
              </w:rPr>
              <w:t>Зона</w:t>
            </w:r>
          </w:p>
        </w:tc>
        <w:tc>
          <w:tcPr>
            <w:tcW w:type="dxa" w:w="960"/>
          </w:tcPr>
          <w:p>
            <w:r>
              <w:rPr>
                <w:b/>
                <w:sz w:val="20"/>
              </w:rPr>
              <w:t>Власник</w:t>
            </w:r>
          </w:p>
        </w:tc>
        <w:tc>
          <w:tcPr>
            <w:tcW w:type="dxa" w:w="960"/>
          </w:tcPr>
          <w:p>
            <w:r>
              <w:rPr>
                <w:b/>
                <w:sz w:val="20"/>
              </w:rPr>
              <w:t>Обґрунтування Й</w:t>
            </w:r>
          </w:p>
        </w:tc>
        <w:tc>
          <w:tcPr>
            <w:tcW w:type="dxa" w:w="960"/>
          </w:tcPr>
          <w:p>
            <w:r>
              <w:rPr>
                <w:b/>
                <w:sz w:val="20"/>
              </w:rPr>
              <w:t>Стратегія</w:t>
            </w:r>
          </w:p>
        </w:tc>
      </w:tr>
      <w:tr>
        <w:tc>
          <w:tcPr>
            <w:tcW w:type="dxa" w:w="960"/>
          </w:tcPr>
          <w:p>
            <w:r>
              <w:rPr>
                <w:sz w:val="20"/>
              </w:rPr>
              <w:t>C-01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Кібератака на ОСП під час/після впровадження (прецедент 22.03.2024, збиток 90–100 млн EUR)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5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5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25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🔴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CISO Замовника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Підвищено з Й4 до Й5: реалізований прецедент 22.03.2024 + активна війна = майже неминуча цільова загроза (&gt;80%); занижувати недоречно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Знизити/уникнути: сегментація OT/IT, відповідність ENTSO-E Catalogue of Measures («IT including Cybersecurity»), zero-trust, незалежний аудит безпеки, кіберстрахування</w:t>
            </w:r>
          </w:p>
        </w:tc>
      </w:tr>
      <w:tr>
        <w:tc>
          <w:tcPr>
            <w:tcW w:type="dxa" w:w="960"/>
          </w:tcPr>
          <w:p>
            <w:r>
              <w:rPr>
                <w:sz w:val="20"/>
              </w:rPr>
              <w:t>C-02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Компрометація ланцюга постачання ПЗ/залежностей Виконавця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3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5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15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🔴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CISO Замовника + Безпека Виконавця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Supply-chain — типовий вектор проти ОСП; ймовірність середня за наявності контролю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Знизити: SBOM, підписані артефакти, перевірка clearance персоналу (множник x1.18)</w:t>
            </w:r>
          </w:p>
        </w:tc>
      </w:tr>
      <w:tr>
        <w:tc>
          <w:tcPr>
            <w:tcW w:type="dxa" w:w="960"/>
          </w:tcPr>
          <w:p>
            <w:r>
              <w:rPr>
                <w:sz w:val="20"/>
              </w:rPr>
              <w:t>C-03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Витік чутливих даних мережі (топологія, режими) — мішень для противника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3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5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15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🔴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CISO Замовника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Висока цінність даних для противника; ймовірність середня за умови класифікації й шифрування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Знизити: класифікація даних, шифрування at-rest/in-transit, мінімізація доступу; продуктив у приватному контурі ОСП (див. §7)</w:t>
            </w:r>
          </w:p>
        </w:tc>
      </w:tr>
      <w:tr>
        <w:tc>
          <w:tcPr>
            <w:tcW w:type="dxa" w:w="960"/>
          </w:tcPr>
          <w:p>
            <w:r>
              <w:rPr>
                <w:sz w:val="20"/>
              </w:rPr>
              <w:t>C-04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Розширення поверхні атаки через нові інтеграційні точки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3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4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12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🔴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CISO Замовника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Кожен новий конектор додає вектор; ймовірність середня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Знизити: threat modeling кожного конектора, пентест перед продуктивом. Ескальовано до 🔴 за правилом окремої ваги КІ (§2.3, рівень ≥9). Частина поверхні додається саме продуктом A2 — див. RV-01 (перекуплення обсягу)</w:t>
            </w:r>
          </w:p>
        </w:tc>
      </w:tr>
      <w:tr>
        <w:tc>
          <w:tcPr>
            <w:tcW w:type="dxa" w:w="960"/>
          </w:tcPr>
          <w:p>
            <w:r>
              <w:rPr>
                <w:sz w:val="20"/>
              </w:rPr>
              <w:t>C-05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Інсайдерська загроза / неавторизований доступ до контуру керування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2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5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10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🔴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CISO Замовника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Низька ймовірність за RBAC/поділу обов'язків, але катастрофічний вплив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Знизити: RBAC, журналювання, поділ обов'язків. Ескальовано до 🔴 за правилом окремої ваги КІ (§2.3, рівень ≥9)</w:t>
            </w:r>
          </w:p>
        </w:tc>
      </w:tr>
    </w:tbl>
    <w:p/>
    <w:p/>
    <w:p>
      <w:pPr>
        <w:pStyle w:val="Heading3"/>
      </w:pPr>
      <w:r>
        <w:t>3.4 Організаційні ризики (опір, нестача ресурсів Замовника)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>
        <w:tc>
          <w:tcPr>
            <w:tcW w:type="dxa" w:w="960"/>
          </w:tcPr>
          <w:p>
            <w:r>
              <w:rPr>
                <w:b/>
                <w:sz w:val="20"/>
              </w:rPr>
              <w:t>ID</w:t>
            </w:r>
          </w:p>
        </w:tc>
        <w:tc>
          <w:tcPr>
            <w:tcW w:type="dxa" w:w="960"/>
          </w:tcPr>
          <w:p>
            <w:r>
              <w:rPr>
                <w:b/>
                <w:sz w:val="20"/>
              </w:rPr>
              <w:t>Ризик</w:t>
            </w:r>
          </w:p>
        </w:tc>
        <w:tc>
          <w:tcPr>
            <w:tcW w:type="dxa" w:w="960"/>
          </w:tcPr>
          <w:p>
            <w:r>
              <w:rPr>
                <w:b/>
                <w:sz w:val="20"/>
              </w:rPr>
              <w:t>Й</w:t>
            </w:r>
          </w:p>
        </w:tc>
        <w:tc>
          <w:tcPr>
            <w:tcW w:type="dxa" w:w="960"/>
          </w:tcPr>
          <w:p>
            <w:r>
              <w:rPr>
                <w:b/>
                <w:sz w:val="20"/>
              </w:rPr>
              <w:t>В</w:t>
            </w:r>
          </w:p>
        </w:tc>
        <w:tc>
          <w:tcPr>
            <w:tcW w:type="dxa" w:w="960"/>
          </w:tcPr>
          <w:p>
            <w:r>
              <w:rPr>
                <w:b/>
                <w:sz w:val="20"/>
              </w:rPr>
              <w:t>Рівень</w:t>
            </w:r>
          </w:p>
        </w:tc>
        <w:tc>
          <w:tcPr>
            <w:tcW w:type="dxa" w:w="960"/>
          </w:tcPr>
          <w:p>
            <w:r>
              <w:rPr>
                <w:b/>
                <w:sz w:val="20"/>
              </w:rPr>
              <w:t>Зона</w:t>
            </w:r>
          </w:p>
        </w:tc>
        <w:tc>
          <w:tcPr>
            <w:tcW w:type="dxa" w:w="960"/>
          </w:tcPr>
          <w:p>
            <w:r>
              <w:rPr>
                <w:b/>
                <w:sz w:val="20"/>
              </w:rPr>
              <w:t>Власник</w:t>
            </w:r>
          </w:p>
        </w:tc>
        <w:tc>
          <w:tcPr>
            <w:tcW w:type="dxa" w:w="960"/>
          </w:tcPr>
          <w:p>
            <w:r>
              <w:rPr>
                <w:b/>
                <w:sz w:val="20"/>
              </w:rPr>
              <w:t>Обґрунтування Й</w:t>
            </w:r>
          </w:p>
        </w:tc>
        <w:tc>
          <w:tcPr>
            <w:tcW w:type="dxa" w:w="960"/>
          </w:tcPr>
          <w:p>
            <w:r>
              <w:rPr>
                <w:b/>
                <w:sz w:val="20"/>
              </w:rPr>
              <w:t>Стратегія</w:t>
            </w:r>
          </w:p>
        </w:tc>
      </w:tr>
      <w:tr>
        <w:tc>
          <w:tcPr>
            <w:tcW w:type="dxa" w:w="960"/>
          </w:tcPr>
          <w:p>
            <w:r>
              <w:rPr>
                <w:sz w:val="20"/>
              </w:rPr>
              <w:t>G-01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Опір змінам з боку персоналу ОДС / суміжних служб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4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3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12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🟠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Спонсор проєкту (Замовник)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Зміна усталених диспетчерських практик зазвичай зустрічає опір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Знизити: change management, залучення диспетчерів на ранніх фазах, навчання</w:t>
            </w:r>
          </w:p>
        </w:tc>
      </w:tr>
      <w:tr>
        <w:tc>
          <w:tcPr>
            <w:tcW w:type="dxa" w:w="960"/>
          </w:tcPr>
          <w:p>
            <w:r>
              <w:rPr>
                <w:sz w:val="20"/>
              </w:rPr>
              <w:t>G-02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Нестача виділених фахівців Замовника (дані, доступи, узгодження)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4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3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12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🟠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Спонсор проєкту (Замовник)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Дефіцит кадрів ОСП в умовах мобілізації — висока ймовірність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Знизити: закріплення ресурсів у Статуті; RACI; ескалація простоїв</w:t>
            </w:r>
          </w:p>
        </w:tc>
      </w:tr>
      <w:tr>
        <w:tc>
          <w:tcPr>
            <w:tcW w:type="dxa" w:w="960"/>
          </w:tcPr>
          <w:p>
            <w:r>
              <w:rPr>
                <w:sz w:val="20"/>
              </w:rPr>
              <w:t>G-03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Затримки прийняття рішень / узгоджень на стороні Замовника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3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3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9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🟠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Керівний комітет (Замовник)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Багаторівневі узгодження ОСП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Знизити: регламент SLA на рішення, фіксовані вікна узгодження</w:t>
            </w:r>
          </w:p>
        </w:tc>
      </w:tr>
      <w:tr>
        <w:tc>
          <w:tcPr>
            <w:tcW w:type="dxa" w:w="960"/>
          </w:tcPr>
          <w:p>
            <w:r>
              <w:rPr>
                <w:sz w:val="20"/>
              </w:rPr>
              <w:t>G-04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Втрата ключових носіїв знань Замовника (мобілізація, ротація)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3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4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12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🟠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Спонсор проєкту (Замовник)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Мобілізація/ротація — реальний контекстний чинник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Знизити: документування, парне ведення, передача знань у ТЗ-документацію</w:t>
            </w:r>
          </w:p>
        </w:tc>
      </w:tr>
    </w:tbl>
    <w:p/>
    <w:p/>
    <w:p>
      <w:pPr>
        <w:pStyle w:val="Heading3"/>
      </w:pPr>
      <w:r>
        <w:t>3.5 Регуляторні ризики (ENTSO-E, держзакупівлі, воєнний стан)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>
        <w:tc>
          <w:tcPr>
            <w:tcW w:type="dxa" w:w="960"/>
          </w:tcPr>
          <w:p>
            <w:r>
              <w:rPr>
                <w:b/>
                <w:sz w:val="20"/>
              </w:rPr>
              <w:t>ID</w:t>
            </w:r>
          </w:p>
        </w:tc>
        <w:tc>
          <w:tcPr>
            <w:tcW w:type="dxa" w:w="960"/>
          </w:tcPr>
          <w:p>
            <w:r>
              <w:rPr>
                <w:b/>
                <w:sz w:val="20"/>
              </w:rPr>
              <w:t>Ризик</w:t>
            </w:r>
          </w:p>
        </w:tc>
        <w:tc>
          <w:tcPr>
            <w:tcW w:type="dxa" w:w="960"/>
          </w:tcPr>
          <w:p>
            <w:r>
              <w:rPr>
                <w:b/>
                <w:sz w:val="20"/>
              </w:rPr>
              <w:t>Й</w:t>
            </w:r>
          </w:p>
        </w:tc>
        <w:tc>
          <w:tcPr>
            <w:tcW w:type="dxa" w:w="960"/>
          </w:tcPr>
          <w:p>
            <w:r>
              <w:rPr>
                <w:b/>
                <w:sz w:val="20"/>
              </w:rPr>
              <w:t>В</w:t>
            </w:r>
          </w:p>
        </w:tc>
        <w:tc>
          <w:tcPr>
            <w:tcW w:type="dxa" w:w="960"/>
          </w:tcPr>
          <w:p>
            <w:r>
              <w:rPr>
                <w:b/>
                <w:sz w:val="20"/>
              </w:rPr>
              <w:t>Рівень</w:t>
            </w:r>
          </w:p>
        </w:tc>
        <w:tc>
          <w:tcPr>
            <w:tcW w:type="dxa" w:w="960"/>
          </w:tcPr>
          <w:p>
            <w:r>
              <w:rPr>
                <w:b/>
                <w:sz w:val="20"/>
              </w:rPr>
              <w:t>Зона</w:t>
            </w:r>
          </w:p>
        </w:tc>
        <w:tc>
          <w:tcPr>
            <w:tcW w:type="dxa" w:w="960"/>
          </w:tcPr>
          <w:p>
            <w:r>
              <w:rPr>
                <w:b/>
                <w:sz w:val="20"/>
              </w:rPr>
              <w:t>Власник</w:t>
            </w:r>
          </w:p>
        </w:tc>
        <w:tc>
          <w:tcPr>
            <w:tcW w:type="dxa" w:w="960"/>
          </w:tcPr>
          <w:p>
            <w:r>
              <w:rPr>
                <w:b/>
                <w:sz w:val="20"/>
              </w:rPr>
              <w:t>Обґрунтування Й</w:t>
            </w:r>
          </w:p>
        </w:tc>
        <w:tc>
          <w:tcPr>
            <w:tcW w:type="dxa" w:w="960"/>
          </w:tcPr>
          <w:p>
            <w:r>
              <w:rPr>
                <w:b/>
                <w:sz w:val="20"/>
              </w:rPr>
              <w:t>Стратегія</w:t>
            </w:r>
          </w:p>
        </w:tc>
      </w:tr>
      <w:tr>
        <w:tc>
          <w:tcPr>
            <w:tcW w:type="dxa" w:w="960"/>
          </w:tcPr>
          <w:p>
            <w:r>
              <w:rPr>
                <w:sz w:val="20"/>
              </w:rPr>
              <w:t>R-01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Зміна / посилення вимог ENTSO-E (членство з 14.12.2023, синхронізація 16.03.2022)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3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3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9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🟠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Юридична служба + Комплаєнс (Замовник)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Регуляторна база ENTSO-E еволюціонує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Знизити: відстеження Catalogue of Measures (4 категорії); відповідність як вимога ТЗ</w:t>
            </w:r>
          </w:p>
        </w:tc>
      </w:tr>
      <w:tr>
        <w:tc>
          <w:tcPr>
            <w:tcW w:type="dxa" w:w="960"/>
          </w:tcPr>
          <w:p>
            <w:r>
              <w:rPr>
                <w:sz w:val="20"/>
              </w:rPr>
              <w:t>R-02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Невідповідність процедурам публічних закупівель / оскарження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3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4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12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🟠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Юридична служба Замовника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Складні закупівлі КІ часто оскаржуються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Знизити: повний пакет документів (ТЗ, кошторис, обґрунтування на 70 джерел, ROI); прозоре ціноутворення</w:t>
            </w:r>
          </w:p>
        </w:tc>
      </w:tr>
      <w:tr>
        <w:tc>
          <w:tcPr>
            <w:tcW w:type="dxa" w:w="960"/>
          </w:tcPr>
          <w:p>
            <w:r>
              <w:rPr>
                <w:sz w:val="20"/>
              </w:rPr>
              <w:t>R-03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Регуляторна залежність від REMIT/ENTSO-E для A2 (комплаєнс-драйвер, а не прямий ROI)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3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3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9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🟠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Юридична служба + CFO Замовника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A2 виправдовується комплаєнсом REMIT, а не прямою окупністю; зміна вимог змінює доцільність обсягу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Знизити: позиціювати A2 як комплаєнс REMIT; обсяг повної версії — за критеріями RV-01 (див. 3.6)</w:t>
            </w:r>
          </w:p>
        </w:tc>
      </w:tr>
      <w:tr>
        <w:tc>
          <w:tcPr>
            <w:tcW w:type="dxa" w:w="960"/>
          </w:tcPr>
          <w:p>
            <w:r>
              <w:rPr>
                <w:sz w:val="20"/>
              </w:rPr>
              <w:t>R-04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Вплив воєнного стану: руйнування об'єктів, мобілізація, обмеження (множник x1.15)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4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4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16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🔴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Керівний комітет (Замовник)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Активна війна; пошкодження об'єктів і мобілізація — реалізовані чинники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Передати/знизити: розподілене розгортання, резервні майданчики, гнучкий графік, страхування строків</w:t>
            </w:r>
          </w:p>
        </w:tc>
      </w:tr>
      <w:tr>
        <w:tc>
          <w:tcPr>
            <w:tcW w:type="dxa" w:w="960"/>
          </w:tcPr>
          <w:p>
            <w:r>
              <w:rPr>
                <w:sz w:val="20"/>
              </w:rPr>
              <w:t>R-05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Бюджетні обмеження ОСП (чистий збиток 2024 = 37.7 млрд грн; інвестпрограма ~4.36 млрд грн/рік)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3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4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12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🟠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CFO Замовника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Фінансовий стан ОСП напружений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Знизити: Модель B (–25%, $38.4М); фазування через MVP; пріоритет A1/A3 за ROI ~1.9–2.0 р</w:t>
            </w:r>
          </w:p>
        </w:tc>
      </w:tr>
    </w:tbl>
    <w:p/>
    <w:p/>
    <w:p>
      <w:pPr>
        <w:pStyle w:val="Heading3"/>
      </w:pPr>
      <w:r>
        <w:t>3.6 Стратегічні ризики обсягу та цінності (scope / value)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>
        <w:tc>
          <w:tcPr>
            <w:tcW w:type="dxa" w:w="960"/>
          </w:tcPr>
          <w:p>
            <w:r>
              <w:rPr>
                <w:b/>
                <w:sz w:val="20"/>
              </w:rPr>
              <w:t>ID</w:t>
            </w:r>
          </w:p>
        </w:tc>
        <w:tc>
          <w:tcPr>
            <w:tcW w:type="dxa" w:w="960"/>
          </w:tcPr>
          <w:p>
            <w:r>
              <w:rPr>
                <w:b/>
                <w:sz w:val="20"/>
              </w:rPr>
              <w:t>Ризик</w:t>
            </w:r>
          </w:p>
        </w:tc>
        <w:tc>
          <w:tcPr>
            <w:tcW w:type="dxa" w:w="960"/>
          </w:tcPr>
          <w:p>
            <w:r>
              <w:rPr>
                <w:b/>
                <w:sz w:val="20"/>
              </w:rPr>
              <w:t>Й</w:t>
            </w:r>
          </w:p>
        </w:tc>
        <w:tc>
          <w:tcPr>
            <w:tcW w:type="dxa" w:w="960"/>
          </w:tcPr>
          <w:p>
            <w:r>
              <w:rPr>
                <w:b/>
                <w:sz w:val="20"/>
              </w:rPr>
              <w:t>В</w:t>
            </w:r>
          </w:p>
        </w:tc>
        <w:tc>
          <w:tcPr>
            <w:tcW w:type="dxa" w:w="960"/>
          </w:tcPr>
          <w:p>
            <w:r>
              <w:rPr>
                <w:b/>
                <w:sz w:val="20"/>
              </w:rPr>
              <w:t>Рівень</w:t>
            </w:r>
          </w:p>
        </w:tc>
        <w:tc>
          <w:tcPr>
            <w:tcW w:type="dxa" w:w="960"/>
          </w:tcPr>
          <w:p>
            <w:r>
              <w:rPr>
                <w:b/>
                <w:sz w:val="20"/>
              </w:rPr>
              <w:t>Зона</w:t>
            </w:r>
          </w:p>
        </w:tc>
        <w:tc>
          <w:tcPr>
            <w:tcW w:type="dxa" w:w="960"/>
          </w:tcPr>
          <w:p>
            <w:r>
              <w:rPr>
                <w:b/>
                <w:sz w:val="20"/>
              </w:rPr>
              <w:t>Власник</w:t>
            </w:r>
          </w:p>
        </w:tc>
        <w:tc>
          <w:tcPr>
            <w:tcW w:type="dxa" w:w="960"/>
          </w:tcPr>
          <w:p>
            <w:r>
              <w:rPr>
                <w:b/>
                <w:sz w:val="20"/>
              </w:rPr>
              <w:t>Обґрунтування Й</w:t>
            </w:r>
          </w:p>
        </w:tc>
        <w:tc>
          <w:tcPr>
            <w:tcW w:type="dxa" w:w="960"/>
          </w:tcPr>
          <w:p>
            <w:r>
              <w:rPr>
                <w:b/>
                <w:sz w:val="20"/>
              </w:rPr>
              <w:t>Стратегія</w:t>
            </w:r>
          </w:p>
        </w:tc>
      </w:tr>
      <w:tr>
        <w:tc>
          <w:tcPr>
            <w:tcW w:type="dxa" w:w="960"/>
          </w:tcPr>
          <w:p>
            <w:r>
              <w:rPr>
                <w:sz w:val="20"/>
              </w:rPr>
              <w:t>RV-01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Перекуплення обсягу: повна версія A2 ($15.1М) не дає вимірюваної цінності понад комплаєнс REMIT. A2 має найслабшу окупність (~4.7 р, самостійно визнано в R-03), і саме A2 додає ризики O-02 (хибна довіра диспетчера) та C-04 (розширення поверхні атаки). Постає питання: навіщо повний обсяг A2, якщо ROI сумнівний, а ризики й вартість зростають?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3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3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9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🟠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CFO / CRO Замовника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A2 — єдиний продукт пакета без прямого ROI; ймовірність того, що повний обсяг виявиться надлишковим до пілота, — середня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Уникнути/знизити (фазування цінності): виконувати A2 тільки в MVP-обсязі комплаєнсу REMIT ($6.0М). Рішення про повну версію ($15.1М) приймати після пілота за наперед визначеними газовими критеріями (gate): підтверджена виявлюваність маніпуляцій, регуляторна потреба, прийнятність доданих ризиків O-02/C-04. Без проходження gate — повний обсяг A2 не закуповується</w:t>
            </w:r>
          </w:p>
        </w:tc>
      </w:tr>
      <w:tr>
        <w:tc>
          <w:tcPr>
            <w:tcW w:type="dxa" w:w="960"/>
          </w:tcPr>
          <w:p>
            <w:r>
              <w:rPr>
                <w:sz w:val="20"/>
              </w:rPr>
              <w:t>RV-02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Розмиття цілей пакета (купівля «трьох систем», а не вимірюваного результату) — ризик інвестиції без чітких KPI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2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3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6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🟡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Спонсор проєкту + CRO Замовника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Мультипродуктовий пакет схильний до розмиття цілей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Знизити: для кожного продукту — вимірювані цільові метрики в ТЗ і ROI-документі; пріоритезація A1/A3 (ROI ~1.9–2.0 р) над повним A2</w:t>
            </w:r>
          </w:p>
        </w:tc>
      </w:tr>
    </w:tbl>
    <w:p/>
    <w:p/>
    <w:p>
      <w:pPr>
        <w:pStyle w:val="Heading3"/>
      </w:pPr>
      <w:r>
        <w:t>3.7 Ризики Виконавця (передаються через контракт)</w:t>
      </w:r>
    </w:p>
    <w:p/>
    <w:p>
      <w:r>
        <w:t>Цей розділ свідомо балансує реєстр: ризики невиконання з боку Виконавця мають власником Виконавця і покриваються контрактними механізмами (SLA, штрафи, гарантії, ескроу), а не перекладаються на Замовника.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>
        <w:tc>
          <w:tcPr>
            <w:tcW w:type="dxa" w:w="960"/>
          </w:tcPr>
          <w:p>
            <w:r>
              <w:rPr>
                <w:b/>
                <w:sz w:val="20"/>
              </w:rPr>
              <w:t>ID</w:t>
            </w:r>
          </w:p>
        </w:tc>
        <w:tc>
          <w:tcPr>
            <w:tcW w:type="dxa" w:w="960"/>
          </w:tcPr>
          <w:p>
            <w:r>
              <w:rPr>
                <w:b/>
                <w:sz w:val="20"/>
              </w:rPr>
              <w:t>Ризик</w:t>
            </w:r>
          </w:p>
        </w:tc>
        <w:tc>
          <w:tcPr>
            <w:tcW w:type="dxa" w:w="960"/>
          </w:tcPr>
          <w:p>
            <w:r>
              <w:rPr>
                <w:b/>
                <w:sz w:val="20"/>
              </w:rPr>
              <w:t>Й</w:t>
            </w:r>
          </w:p>
        </w:tc>
        <w:tc>
          <w:tcPr>
            <w:tcW w:type="dxa" w:w="960"/>
          </w:tcPr>
          <w:p>
            <w:r>
              <w:rPr>
                <w:b/>
                <w:sz w:val="20"/>
              </w:rPr>
              <w:t>В</w:t>
            </w:r>
          </w:p>
        </w:tc>
        <w:tc>
          <w:tcPr>
            <w:tcW w:type="dxa" w:w="960"/>
          </w:tcPr>
          <w:p>
            <w:r>
              <w:rPr>
                <w:b/>
                <w:sz w:val="20"/>
              </w:rPr>
              <w:t>Рівень</w:t>
            </w:r>
          </w:p>
        </w:tc>
        <w:tc>
          <w:tcPr>
            <w:tcW w:type="dxa" w:w="960"/>
          </w:tcPr>
          <w:p>
            <w:r>
              <w:rPr>
                <w:b/>
                <w:sz w:val="20"/>
              </w:rPr>
              <w:t>Зона</w:t>
            </w:r>
          </w:p>
        </w:tc>
        <w:tc>
          <w:tcPr>
            <w:tcW w:type="dxa" w:w="960"/>
          </w:tcPr>
          <w:p>
            <w:r>
              <w:rPr>
                <w:b/>
                <w:sz w:val="20"/>
              </w:rPr>
              <w:t>Власник</w:t>
            </w:r>
          </w:p>
        </w:tc>
        <w:tc>
          <w:tcPr>
            <w:tcW w:type="dxa" w:w="960"/>
          </w:tcPr>
          <w:p>
            <w:r>
              <w:rPr>
                <w:b/>
                <w:sz w:val="20"/>
              </w:rPr>
              <w:t>Обґрунтування Й</w:t>
            </w:r>
          </w:p>
        </w:tc>
        <w:tc>
          <w:tcPr>
            <w:tcW w:type="dxa" w:w="960"/>
          </w:tcPr>
          <w:p>
            <w:r>
              <w:rPr>
                <w:b/>
                <w:sz w:val="20"/>
              </w:rPr>
              <w:t>Стратегія</w:t>
            </w:r>
          </w:p>
        </w:tc>
      </w:tr>
      <w:tr>
        <w:tc>
          <w:tcPr>
            <w:tcW w:type="dxa" w:w="960"/>
          </w:tcPr>
          <w:p>
            <w:r>
              <w:rPr>
                <w:sz w:val="20"/>
              </w:rPr>
              <w:t>V-01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Зрив строку MVP Виконавцем (A1 6 міс / A2 4 міс / A3 3 міс)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3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4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12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🟠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Виконавець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Стислі MVP-строки під тиском — типове джерело зриву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Передати: контрактні SLA на віхи MVP з фінансовими санкціями (penalty за прострочення); буфер строків; щотижневий контроль 🔴</w:t>
            </w:r>
          </w:p>
        </w:tc>
      </w:tr>
      <w:tr>
        <w:tc>
          <w:tcPr>
            <w:tcW w:type="dxa" w:w="960"/>
          </w:tcPr>
          <w:p>
            <w:r>
              <w:rPr>
                <w:sz w:val="20"/>
              </w:rPr>
              <w:t>V-02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Перевитрата бюджету / запит на доплату понад фіксовану ціну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3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3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9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🟠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Виконавець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Великі інтеграційні проєкти схильні до scope creep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Передати: фіксована ціна за фазами (MVP), формальний change-control; перевитрата в межах фази — за рахунок Виконавця</w:t>
            </w:r>
          </w:p>
        </w:tc>
      </w:tr>
      <w:tr>
        <w:tc>
          <w:tcPr>
            <w:tcW w:type="dxa" w:w="960"/>
          </w:tcPr>
          <w:p>
            <w:r>
              <w:rPr>
                <w:sz w:val="20"/>
              </w:rPr>
              <w:t>V-03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Банкрутство / догляд підрядника, припинення супроводу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2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5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10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🟠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Виконавець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Низька ймовірність, але критичний вплив для КІ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Передати/уникнути: ескроу вихідного коду, повна передача IP та документації Замовнику за віхами; exit-план із гарантованим періодом передачі справ</w:t>
            </w:r>
          </w:p>
        </w:tc>
      </w:tr>
      <w:tr>
        <w:tc>
          <w:tcPr>
            <w:tcW w:type="dxa" w:w="960"/>
          </w:tcPr>
          <w:p>
            <w:r>
              <w:rPr>
                <w:sz w:val="20"/>
              </w:rPr>
              <w:t>V-04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Недостатня кваліфікація / плинність ключової команди Виконавця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3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3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9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🟠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Виконавець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Дефіцит профільних DS/OT-інженерів на ринку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Передати/знизити: контрактна вимога до складу ключового персоналу (key-personnel clause), заборона заміни без погодження, парне ведення, передача знань</w:t>
            </w:r>
          </w:p>
        </w:tc>
      </w:tr>
      <w:tr>
        <w:tc>
          <w:tcPr>
            <w:tcW w:type="dxa" w:w="960"/>
          </w:tcPr>
          <w:p>
            <w:r>
              <w:rPr>
                <w:sz w:val="20"/>
              </w:rPr>
              <w:t>V-05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Vendor lock-in: залежність Замовника від єдиного підрядника та пропрієтарних рішень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3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4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12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🟠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Виконавець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Інтегровані платформи схильні до lock-in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Передати/уникнути: відкриті стандарти й формати даних, документований API, передача вихідного коду й IP, exit-план міграції, заборона недокументованих залежностей</w:t>
            </w:r>
          </w:p>
        </w:tc>
      </w:tr>
    </w:tbl>
    <w:p/>
    <w:p/>
    <w:p>
      <w:pPr>
        <w:pStyle w:val="Heading3"/>
      </w:pPr>
      <w:r>
        <w:t>3.8 Ризики приймання, володіння і завершення (TCO / exit)</w:t>
      </w:r>
    </w:p>
    <w:p/>
    <w:p>
      <w:r>
        <w:t>Реєстр не завершується «передачею в продуктив»: Правління оцінює 5–10 років сукупної вартості володіння (TCO). Ці ризики прив'язані до ROI-документа і ТЗ.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>
        <w:tc>
          <w:tcPr>
            <w:tcW w:type="dxa" w:w="960"/>
          </w:tcPr>
          <w:p>
            <w:r>
              <w:rPr>
                <w:b/>
                <w:sz w:val="20"/>
              </w:rPr>
              <w:t>ID</w:t>
            </w:r>
          </w:p>
        </w:tc>
        <w:tc>
          <w:tcPr>
            <w:tcW w:type="dxa" w:w="960"/>
          </w:tcPr>
          <w:p>
            <w:r>
              <w:rPr>
                <w:b/>
                <w:sz w:val="20"/>
              </w:rPr>
              <w:t>Ризик</w:t>
            </w:r>
          </w:p>
        </w:tc>
        <w:tc>
          <w:tcPr>
            <w:tcW w:type="dxa" w:w="960"/>
          </w:tcPr>
          <w:p>
            <w:r>
              <w:rPr>
                <w:b/>
                <w:sz w:val="20"/>
              </w:rPr>
              <w:t>Й</w:t>
            </w:r>
          </w:p>
        </w:tc>
        <w:tc>
          <w:tcPr>
            <w:tcW w:type="dxa" w:w="960"/>
          </w:tcPr>
          <w:p>
            <w:r>
              <w:rPr>
                <w:b/>
                <w:sz w:val="20"/>
              </w:rPr>
              <w:t>В</w:t>
            </w:r>
          </w:p>
        </w:tc>
        <w:tc>
          <w:tcPr>
            <w:tcW w:type="dxa" w:w="960"/>
          </w:tcPr>
          <w:p>
            <w:r>
              <w:rPr>
                <w:b/>
                <w:sz w:val="20"/>
              </w:rPr>
              <w:t>Рівень</w:t>
            </w:r>
          </w:p>
        </w:tc>
        <w:tc>
          <w:tcPr>
            <w:tcW w:type="dxa" w:w="960"/>
          </w:tcPr>
          <w:p>
            <w:r>
              <w:rPr>
                <w:b/>
                <w:sz w:val="20"/>
              </w:rPr>
              <w:t>Зона</w:t>
            </w:r>
          </w:p>
        </w:tc>
        <w:tc>
          <w:tcPr>
            <w:tcW w:type="dxa" w:w="960"/>
          </w:tcPr>
          <w:p>
            <w:r>
              <w:rPr>
                <w:b/>
                <w:sz w:val="20"/>
              </w:rPr>
              <w:t>Власник</w:t>
            </w:r>
          </w:p>
        </w:tc>
        <w:tc>
          <w:tcPr>
            <w:tcW w:type="dxa" w:w="960"/>
          </w:tcPr>
          <w:p>
            <w:r>
              <w:rPr>
                <w:b/>
                <w:sz w:val="20"/>
              </w:rPr>
              <w:t>Обґрунтування Й</w:t>
            </w:r>
          </w:p>
        </w:tc>
        <w:tc>
          <w:tcPr>
            <w:tcW w:type="dxa" w:w="960"/>
          </w:tcPr>
          <w:p>
            <w:r>
              <w:rPr>
                <w:b/>
                <w:sz w:val="20"/>
              </w:rPr>
              <w:t>Стратегія</w:t>
            </w:r>
          </w:p>
        </w:tc>
      </w:tr>
      <w:tr>
        <w:tc>
          <w:tcPr>
            <w:tcW w:type="dxa" w:w="960"/>
          </w:tcPr>
          <w:p>
            <w:r>
              <w:rPr>
                <w:sz w:val="20"/>
              </w:rPr>
              <w:t>E-01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Відсутність вимірюваних критеріїв приймання (acceptance): незрозуміло, хто і за якими метриками підписує, що A1/A2/A3 «працюють»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3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4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12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🟠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Керівний комітет (Замовник) + Виконавець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Без формальних KPI приймання спірне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Знизити: SLA-метрики приймання в ТЗ (точність, латентність, покриття) із підписантом і процедурою acceptance до старту фази</w:t>
            </w:r>
          </w:p>
        </w:tc>
      </w:tr>
      <w:tr>
        <w:tc>
          <w:tcPr>
            <w:tcW w:type="dxa" w:w="960"/>
          </w:tcPr>
          <w:p>
            <w:r>
              <w:rPr>
                <w:sz w:val="20"/>
              </w:rPr>
              <w:t>E-02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Непрогнозований OPEX супроводу: ліцензії, інфраструктура, перенавчання моделей, підтримка — не показаний у бюджетах CAPEX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3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4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12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🟠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CFO Замовника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TCO регулярно недооцінюється на етапі купівлі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Знизити: окремий розрахунок OPEX/TCO на 5 років у ROI-документі (ліцензії, хмара/on-prem, MLOps-перенавчання, сапорт); фіксація вартості супроводу в контракті</w:t>
            </w:r>
          </w:p>
        </w:tc>
      </w:tr>
      <w:tr>
        <w:tc>
          <w:tcPr>
            <w:tcW w:type="dxa" w:w="960"/>
          </w:tcPr>
          <w:p>
            <w:r>
              <w:rPr>
                <w:sz w:val="20"/>
              </w:rPr>
              <w:t>E-03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Відсутність exit / decommission-плану: сценарій відмови від продукту, виведення з експлуатації, повернення даних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2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3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6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🟡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Спонсор проєкту (Замовник) + Виконавець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Рідко, але дороге без плану</w:t>
            </w:r>
          </w:p>
        </w:tc>
        <w:tc>
          <w:tcPr>
            <w:tcW w:type="dxa" w:w="960"/>
          </w:tcPr>
          <w:p>
            <w:r>
              <w:rPr>
                <w:sz w:val="20"/>
              </w:rPr>
              <w:t>Знизити: exit/decommission-план у контракті — експорт даних у відкритих форматах, передача IP (звʼязок з V-03/V-05), процедура виведення</w:t>
            </w:r>
          </w:p>
        </w:tc>
      </w:tr>
    </w:tbl>
    <w:p/>
    <w:p/>
    <w:p/>
    <w:p>
      <w:pPr>
        <w:pStyle w:val="Heading2"/>
      </w:pPr>
      <w:r>
        <w:t>4. Топ-ризики (heat-зона 🔴) та обґрунтування окремої ваги КІ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b/>
                <w:sz w:val="20"/>
              </w:rPr>
              <w:t>ID</w:t>
            </w:r>
          </w:p>
        </w:tc>
        <w:tc>
          <w:tcPr>
            <w:tcW w:type="dxa" w:w="1728"/>
          </w:tcPr>
          <w:p>
            <w:r>
              <w:rPr>
                <w:b/>
                <w:sz w:val="20"/>
              </w:rPr>
              <w:t>Рівень</w:t>
            </w:r>
          </w:p>
        </w:tc>
        <w:tc>
          <w:tcPr>
            <w:tcW w:type="dxa" w:w="1728"/>
          </w:tcPr>
          <w:p>
            <w:r>
              <w:rPr>
                <w:b/>
                <w:sz w:val="20"/>
              </w:rPr>
              <w:t>Категорія</w:t>
            </w:r>
          </w:p>
        </w:tc>
        <w:tc>
          <w:tcPr>
            <w:tcW w:type="dxa" w:w="1728"/>
          </w:tcPr>
          <w:p>
            <w:r>
              <w:rPr>
                <w:b/>
                <w:sz w:val="20"/>
              </w:rPr>
              <w:t>Чому пріоритет</w:t>
            </w:r>
          </w:p>
        </w:tc>
        <w:tc>
          <w:tcPr>
            <w:tcW w:type="dxa" w:w="1728"/>
          </w:tcPr>
          <w:p>
            <w:r>
              <w:rPr>
                <w:b/>
                <w:sz w:val="20"/>
              </w:rPr>
              <w:t>Орієнтовна грош. експозиція (§2.4)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C-01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25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Кібербезпека КІ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Реалізований прецедент 22.03.2024 (90–100 млн EUR); прямі збитки передачі $2.1 млрд (KSE); Й піднято до 5 — майже неминуче в умовах війни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≥ ~425 млн грн (нижня оцінка)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C-02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15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Кібербезпека КІ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Ланцюг постачання — типовий вектор проти ОСП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≥ ~215 млн грн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C-03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15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Кібербезпека КІ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Топологія/режими мережі — мішень противника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≥ ~215 млн грн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O-01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15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Операційний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Й піднято до 3: інтеграція в живий диспетчерський контур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висока (вплив на real-time)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R-04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16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Регуляторний / воєнний стан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Системний контекстний ризик, множник x1.15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~204 млн грн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T-01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16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Технічний / дані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Якість даних — фундамент цінності A1 (+500 МВт ємності ENTSO-E)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~204 млн грн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C-04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12→🔴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Кібербезпека КІ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Ескальовано правилом окремої ваги (≥9); поверхня атаки від нових конекторів (зокрема A2)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—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C-05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10→🔴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Кібербезпека КІ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Ескальовано правилом окремої ваги (≥9)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—</w:t>
            </w:r>
          </w:p>
        </w:tc>
      </w:tr>
    </w:tbl>
    <w:p/>
    <w:p/>
    <w:p>
      <w:r>
        <w:t>Обґрунтування окремої ваги кіберризиків. Замовник — оператор критичної інфраструктури в умовах активної цільової загрози. Категорія кібербезпеки оцінюється за посиленою шкалою: будь-який кіберризик рівня ≥ 9 ескалюється до CISO і трактується як 🔴 — однаково для C-04, C-05 і всіх інших C-*. Узгоджено з ENTSO-E Catalogue of Measures (28.06.2017): «IT including Cybersecurity», «Protection and Dynamic Stability», «Operations and Markets», «Legal and Regulatory».</w:t>
      </w:r>
    </w:p>
    <w:p/>
    <w:p/>
    <w:p>
      <w:pPr>
        <w:pStyle w:val="Heading2"/>
      </w:pPr>
      <w:r>
        <w:t>5. План реагування та ескалації</w:t>
      </w:r>
    </w:p>
    <w:p/>
    <w:p>
      <w:pPr>
        <w:pStyle w:val="Heading3"/>
      </w:pPr>
      <w:r>
        <w:t>5.1 Стратегії реагування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  <w:sz w:val="20"/>
              </w:rPr>
              <w:t>Стратегія</w:t>
            </w:r>
          </w:p>
        </w:tc>
        <w:tc>
          <w:tcPr>
            <w:tcW w:type="dxa" w:w="4320"/>
          </w:tcPr>
          <w:p>
            <w:r>
              <w:rPr>
                <w:b/>
                <w:sz w:val="20"/>
              </w:rPr>
              <w:t>Коли застосовується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Уникнути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Ризик неприйнятний — змінити підхід (read-only замість запису в продуктив C-01/O-01; не купувати повний A2 без gate — RV-01)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Знизити (мітигувати)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Базова стратегія для більшості ризиків — зменшити Й або В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Передати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Контрактні SLA/штрафи/гарантії/ескроу для ризиків Виконавця (V-01…V-05); страхування строків і кіберстрахування (R-04, C-01)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Прийняти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Зона 🟢 — свідоме прийняття з моніторингом</w:t>
            </w:r>
          </w:p>
        </w:tc>
      </w:tr>
    </w:tbl>
    <w:p/>
    <w:p/>
    <w:p>
      <w:pPr>
        <w:pStyle w:val="Heading3"/>
      </w:pPr>
      <w:r>
        <w:t>5.2 Рівні та тригери ескалації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20"/>
              </w:rPr>
              <w:t>Рівень ескалації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Тригер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Орган / роль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Реакція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L1 — Робочий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Зона 🟢/🟡; відхилення в межах буфера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Керівник проєкту (Виконавець + Замовник)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Рішення в робочому порядку, фіксація в журналі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L2 — Керівний комітет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Зона 🟠; зсув строку 1–2 міс; новий ризик ≥ 9; запит на доплату V-02; gate-рішення по RV-01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Керівний комітет проєкту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Перегляд плану, виділення резерву, рішення ≤ 5 робочих днів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L3 — C-level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Зона 🔴; будь-який кіберризик ≥ 9; вплив на real-time диспетчеризацію; зрив MVP V-01; ризик банкрутства Виконавця V-03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CRO / CISO / CFO / спонсор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Негайний збір, план реагування ≤ 48 год, інформування правління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L4 — Регулятор / зовнішній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Кіберінцидент КІ; невідповідність ENTSO-E; інцидент закупівель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CISO + юридична служба + Замовник як заявник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Повідомлення CERT/регулятора згідно процедур; зовнішня комунікація лише через Замовника</w:t>
            </w:r>
          </w:p>
        </w:tc>
      </w:tr>
    </w:tbl>
    <w:p/>
    <w:p/>
    <w:p>
      <w:pPr>
        <w:pStyle w:val="Heading3"/>
      </w:pPr>
      <w:r>
        <w:t>5.3 Регламент управління реєстром</w:t>
      </w:r>
    </w:p>
    <w:p/>
    <w:p>
      <w:pPr>
        <w:pStyle w:val="ListBullet"/>
      </w:pPr>
      <w:r>
        <w:t>Перегляд: реєстр переглядається на кожному Керівному комітеті (щомісяця), топ-🔴 — щотижня.</w:t>
      </w:r>
    </w:p>
    <w:p>
      <w:pPr>
        <w:pStyle w:val="ListBullet"/>
      </w:pPr>
      <w:r>
        <w:t>Власність: кожен ризик має єдиного власника (accountable) згідно колонки «Власник»; ризики Виконавця (V-*) — відповідальність Виконавця за контрактом.</w:t>
      </w:r>
    </w:p>
    <w:p>
      <w:pPr>
        <w:pStyle w:val="ListBullet"/>
      </w:pPr>
      <w:r>
        <w:t>Журнал: усі реалізовані ризики (issues) і вжиті заходи фіксуються; уроки переносяться в наступні фази (MVP → повна).</w:t>
      </w:r>
    </w:p>
    <w:p>
      <w:pPr>
        <w:pStyle w:val="ListBullet"/>
      </w:pPr>
      <w:r>
        <w:t>Резерв: закладаються (а) резерв строків 10–15% для фаз з переважанням 🔴 і (б) грошовий контингенс X% від $38.4М (орієнтир 10–15%, §2.4). Конкретні значення узгоджуються на ініціації з CFO.</w:t>
      </w:r>
    </w:p>
    <w:p>
      <w:pPr>
        <w:pStyle w:val="ListBullet"/>
      </w:pPr>
      <w:r>
        <w:t>Gate-рішення обсягу: перехід A2 з MVP у повну версію — лише після пілота за критеріями RV-01 (рішення L2/L3).</w:t>
      </w:r>
    </w:p>
    <w:p/>
    <w:p/>
    <w:p>
      <w:pPr>
        <w:pStyle w:val="Heading2"/>
      </w:pPr>
      <w:r>
        <w:t>6. Статус демо та модель розгортання продуктиву</w:t>
      </w:r>
    </w:p>
    <w:p/>
    <w:p>
      <w:r>
        <w:t>Демо ≠ продуктив. Публічне демо https://ukrenergo.radai-1984.dev призначене виключно для демонстрації функціональності трьох незалежних продуктів (база), а також — як опціональна Модель B — наскрізного сценарію та агентного контуру 24/7. Воно працює на синтетичних / знеособлених даних і не містить реальних даних мережі ОСП (топології, режимів, телеметрії). Розміщення демо на зовнішньому домені не суперечить обіцянці «дані не виходять за периметр» (C-03), оскільки за периметр виходять лише демонстраційні синтетичні дані.</w:t>
      </w:r>
    </w:p>
    <w:p/>
    <w:p>
      <w:r>
        <w:t>Модель розгортання продуктиву (вимоги Концепції безпеки):</w:t>
      </w:r>
    </w:p>
    <w:p>
      <w:pPr>
        <w:pStyle w:val="ListBullet"/>
      </w:pPr>
      <w:r>
        <w:t>Розгортання: продуктив — on-prem / у приватному контурі ОСП; за потреби хмарних компонентів — лише в українській юрисдикції та за погодженням CISO.</w:t>
      </w:r>
    </w:p>
    <w:p>
      <w:pPr>
        <w:pStyle w:val="ListBullet"/>
      </w:pPr>
      <w:r>
        <w:t>Юрисдикція хостингу: дані КІ зберігаються та обробляються в межах України; транскордонна передача чутливих даних мережі — заборонена.</w:t>
      </w:r>
    </w:p>
    <w:p>
      <w:pPr>
        <w:pStyle w:val="ListBullet"/>
      </w:pPr>
      <w:r>
        <w:t>Доступ персоналу Виконавця: доступ у периметр — за принципом мінімальних привілеїв (RBAC), з journaling, перевіркою clearance (множник x1.18), без root-доступу до продуктивних OT-систем без супроводу персоналу Замовника.</w:t>
      </w:r>
    </w:p>
    <w:p>
      <w:pPr>
        <w:pStyle w:val="ListBullet"/>
      </w:pPr>
      <w:r>
        <w:t>Розмежування: жодні реальні дані ОСП не реплікуються в демо- чи зовнішні контури.</w:t>
      </w:r>
    </w:p>
    <w:p/>
    <w:p>
      <w:r>
        <w:t>Ці вимоги фіксуються в Концепції безпеки та контракті й закривають питання CISO про хостинг, юрисдикцію і доступ.</w:t>
      </w:r>
    </w:p>
    <w:p/>
    <w:p/>
    <w:p>
      <w:pPr>
        <w:pStyle w:val="Heading2"/>
      </w:pPr>
      <w:r>
        <w:t>7. Зв'язок з іншими документами пакета (Annexes)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  <w:sz w:val="20"/>
              </w:rPr>
              <w:t>Ризик / категорія</w:t>
            </w:r>
          </w:p>
        </w:tc>
        <w:tc>
          <w:tcPr>
            <w:tcW w:type="dxa" w:w="4320"/>
          </w:tcPr>
          <w:p>
            <w:r>
              <w:rPr>
                <w:b/>
                <w:sz w:val="20"/>
              </w:rPr>
              <w:t>Документ, що мітигує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Технічні (T-01…T-06)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4 ТЗ (ISO/IEC/IEEE 29148); технічна концепція; запит даних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Кібербезпека (C-01…C-05)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Концепція безпеки; модель розгортання (§6); відповідність ENTSO-E Catalogue of Measures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Регуляторні / закупівлі (R-02, R-03, R-05)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Кошторис; обґрунтування вартості (70 джерел); ROI; комерційна пропозиція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Стратегічні / обсяг (RV-01, RV-02)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ROI-документ (окупність A1/A2/A3); матриця обсягу MVP/повна; gate-критерії пілота A2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Ризики Виконавця (V-01…V-05)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Контракт: SLA, штрафи, гарантії, ескроу коду, key-personnel clause, передача IP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Приймання / TCO / exit (E-01…E-03)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ТЗ (SLA-метрики acceptance); ROI-документ (OPEX/TCO 5 років); exit/decommission-план у контракті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Операційні / організаційні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Огляд рішення; executive summary; досвід Виконавця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Грошова експозиція / резерв (§2.4)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Кошторис; ROI-документ (узгодження X% контингенсу від $38.4М з CFO)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Доказ працездатності (зниження T-02, T-03, T-04)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Демо: https://ukrenergo.radai-1984.dev (синтетичні дані; 3 продукти + наскрізний сценарій + агентний контур 24/7)</w:t>
            </w:r>
          </w:p>
        </w:tc>
      </w:tr>
    </w:tbl>
    <w:p/>
    <w:p/>
    <w:p/>
    <w:p>
      <w:r>
        <w:t>Підсумок для CRO/CISO/CFO. Профіль ризику проєкту керований за умови: (1) пріоритетного режиму для кіберризиків КІ — усі C-* з рівнем ≥9 є 🔴 (включно з C-04), C-01 оцінено реалістично як Й5; (2) read-only підключення до диспетчерського контуру на старті з human-in-the-loop (O-01 піднято до 🔴); (3) фазування цінності — A2 лише в MVP-обсязі комплаєнсу REMIT ($6.0М) до проходження gate-критеріїв пілота (RV-01), пріоритет A1/A3 за ROI ~1.9–2.0 р; (4) ризики невиконання Виконавця (V-01…V-05) передані через контрактні SLA, штрафи, ескроу коду та передачу IP — не перекладені на Замовника; (5) грошовий контингенс X% від $38.4М (орієнтир 10–15%) і резерв строків 10–15% узгоджуються з CFO на ініціації; (6) врахований 5-річний TCO (OPEX-супровід, перенавчання) і exit-план. Найвищі ризики (C-01, R-04, T-01, плюс ескальовані C-04/O-01) мають визначених власників C-level і обов'язкові плани реагування.</w:t>
      </w:r>
    </w:p>
    <w:p/>
    <w:p>
      <w:r>
        <w:t>*Документ є невіддільною частиною пропозиції ПрАТ «НЕК «УКРЕНЕРГО» та підлягає актуалізації на фазі ініціації проєкту.*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40"/>
      <w:ind w:firstLine="709"/>
      <w:jc w:val="both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ind w:firstLine="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ind w:firstLine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ind w:firstLine="0"/>
      <w:outlineLvl w:val="2"/>
    </w:pPr>
    <w:rPr>
      <w:rFonts w:asciiTheme="majorHAnsi" w:eastAsiaTheme="majorEastAsia" w:hAnsiTheme="majorHAnsi" w:cstheme="majorBidi" w:ascii="Times New Roman" w:hAnsi="Times New Roman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