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rPr>
          <w:b/>
          <w:sz w:val="22"/>
        </w:rPr>
        <w:t>Гриф обмеження доступу: «ЦІЛКОМ ТАЄМНО»</w:t>
        <w:br/>
        <w:t>Прим. № ____   (проєкт — до затвердження КСЗІ)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sz w:val="22"/>
              </w:rPr>
              <w:t>ПОГОДЖЕНО</w:t>
              <w:br/>
              <w:t>Генеральний директор ВИКОНАВЦЯ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  <w:tc>
          <w:tcPr>
            <w:tcW w:type="dxa" w:w="4320"/>
          </w:tcPr>
          <w:p>
            <w:r>
              <w:rPr>
                <w:sz w:val="22"/>
              </w:rPr>
              <w:t>ЗАТВЕРДЖУЮ</w:t>
              <w:br/>
              <w:t>Генеральний директор</w:t>
              <w:br/>
              <w:t>НЕК «УКРЕНЕРГО»</w:t>
              <w:br/>
              <w:t>____________ ______________</w:t>
              <w:br/>
              <w:t>«___» __________ 20__ р.</w:t>
              <w:br/>
              <w:t xml:space="preserve">        М.П.</w:t>
            </w:r>
          </w:p>
        </w:tc>
      </w:tr>
    </w:tbl>
    <w:p/>
    <w:p/>
    <w:p/>
    <w:p>
      <w:pPr>
        <w:jc w:val="center"/>
      </w:pPr>
      <w:r>
        <w:rPr>
          <w:b/>
          <w:sz w:val="28"/>
        </w:rPr>
        <w:t>АВТОМАТИЗОВАНА СИСТЕМА</w:t>
      </w:r>
    </w:p>
    <w:p>
      <w:pPr>
        <w:jc w:val="center"/>
      </w:pPr>
      <w:r>
        <w:rPr>
          <w:b/>
          <w:sz w:val="32"/>
        </w:rPr>
        <w:t>«Комплект із трьох самостійних продуктів для ОЕС України»</w:t>
      </w:r>
    </w:p>
    <w:p>
      <w:pPr>
        <w:jc w:val="center"/>
      </w:pPr>
      <w:r>
        <w:rPr>
          <w:b w:val="0"/>
          <w:sz w:val="24"/>
        </w:rPr>
        <w:t>(3П ОЕС)</w:t>
      </w:r>
    </w:p>
    <w:p>
      <w:pPr>
        <w:jc w:val="center"/>
      </w:pPr>
      <w:r>
        <w:rPr>
          <w:b w:val="0"/>
          <w:sz w:val="24"/>
        </w:rPr>
      </w:r>
    </w:p>
    <w:p>
      <w:pPr>
        <w:jc w:val="center"/>
      </w:pPr>
      <w:r>
        <w:rPr>
          <w:b/>
          <w:sz w:val="30"/>
        </w:rPr>
        <w:t>СУПРОВІДНИЙ ЛИСТ</w:t>
      </w:r>
    </w:p>
    <w:p/>
    <w:p/>
    <w:p>
      <w:pPr>
        <w:jc w:val="center"/>
      </w:pPr>
      <w:r>
        <w:rPr>
          <w:sz w:val="22"/>
        </w:rPr>
        <w:t>Позначення документа: UE-3PROD.CL</w:t>
      </w:r>
    </w:p>
    <w:p>
      <w:pPr>
        <w:jc w:val="center"/>
      </w:pPr>
      <w:r>
        <w:rPr>
          <w:sz w:val="22"/>
        </w:rPr>
        <w:t>Кількість аркушів: ____</w:t>
      </w:r>
    </w:p>
    <w:p>
      <w:pPr>
        <w:jc w:val="center"/>
      </w:pPr>
      <w:r>
        <w:rPr>
          <w:sz w:val="22"/>
        </w:rPr>
        <w:t>Редакція: 1.0</w:t>
      </w:r>
    </w:p>
    <w:p/>
    <w:p/>
    <w:p>
      <w:pPr>
        <w:ind w:firstLine="0"/>
        <w:jc w:val="center"/>
      </w:pPr>
      <w:r>
        <w:rPr>
          <w:b/>
          <w:sz w:val="22"/>
        </w:rPr>
        <w:t>ПРИВАТНЕ АКЦІОНЕРНЕ ТОВАРИСТВО «НАЦІОНАЛЬНА ЕНЕРГЕТИЧНА КОМПАНІЯ «УКРЕНЕРГО»</w:t>
      </w:r>
    </w:p>
    <w:p>
      <w:pPr>
        <w:ind w:firstLine="0"/>
        <w:jc w:val="center"/>
      </w:pPr>
      <w:r>
        <w:rPr>
          <w:i/>
          <w:sz w:val="20"/>
        </w:rPr>
        <w:t>Замовник: ПрАТ «НЕК «УКРЕНЕРГО» · код ЄДРПОУ 00100227 · 01032, м. Київ, вул. Симона Петлюри, 25</w:t>
      </w:r>
    </w:p>
    <w:p/>
    <w:p/>
    <w:p>
      <w:pPr>
        <w:ind w:firstLine="0"/>
        <w:jc w:val="center"/>
      </w:pPr>
      <w:r>
        <w:rPr>
          <w:sz w:val="24"/>
        </w:rPr>
        <w:t>Київ</w:t>
      </w:r>
    </w:p>
    <w:p>
      <w:pPr>
        <w:ind w:firstLine="0"/>
        <w:jc w:val="center"/>
      </w:pPr>
      <w:r>
        <w:rPr>
          <w:sz w:val="24"/>
        </w:rPr>
        <w:t>2026</w:t>
      </w:r>
    </w:p>
    <w:p>
      <w:r>
        <w:br w:type="page"/>
      </w:r>
    </w:p>
    <w:p>
      <w:pPr>
        <w:pStyle w:val="Heading2"/>
      </w:pPr>
      <w:r>
        <w:t>Супровідний лист</w:t>
      </w:r>
    </w:p>
    <w:p/>
    <w:p>
      <w:r>
        <w:t>ПрАТ «НАЦІОНАЛЬНА ЕНЕРГЕТИЧНА КОМПАНІЯ «УКРЕНЕРГО»</w:t>
      </w:r>
    </w:p>
    <w:p>
      <w:r>
        <w:t>ЄДРПОУ 00100227</w:t>
      </w:r>
    </w:p>
    <w:p>
      <w:r>
        <w:t>01032, м. Київ, вул. Симона Петлюри, 25</w:t>
      </w:r>
    </w:p>
    <w:p/>
    <w:p>
      <w:r>
        <w:t>Голові Правління</w:t>
      </w:r>
    </w:p>
    <w:p>
      <w:r>
        <w:t>ПрАТ «НЕК «Укренерго»</w:t>
      </w:r>
    </w:p>
    <w:p/>
    <w:p>
      <w:r>
        <w:t>Щодо вхідних матеріалів до формування вимог на систему управління ризиками безпеки та прогнозу загроз</w:t>
      </w:r>
    </w:p>
    <w:p/>
    <w:p/>
    <w:p>
      <w:r>
        <w:t>Вельмишановний Голово Правління!</w:t>
      </w:r>
    </w:p>
    <w:p/>
    <w:p>
      <w:r>
        <w:t>Звертаємося до Вас із пропозицією, яку вважаємо своєчасною та практично необхідною для Компанії.</w:t>
      </w:r>
    </w:p>
    <w:p/>
    <w:p>
      <w:r>
        <w:t>За три роки повномасштабної війни ПрАТ «НЕК «Укренерго» забезпечило аварійну синхронізацію з ENTSO-E (16.03.2022), повне членство в обʼєднанні (14.12.2023) та утримання керованості системи передачі під безпрецедентним ураженням обладнання. Прямі збитки інфраструктури передачі оцінюються на рівні $2.1 млрд (KSE). Зобовʼязання за Catalogue of Measures (28.06.2017), зокрема за категорією «ІТ, включно з кібербезпекою», залишаються невиконаними в повному обсязі.</w:t>
      </w:r>
    </w:p>
    <w:p/>
    <w:p>
      <w:r>
        <w:t>Ми реалізували саме той продукт, який потребує Компанія, — і пропонуємо його до розгляду в готовому вигляді.</w:t>
      </w:r>
    </w:p>
    <w:p/>
    <w:p>
      <w:r>
        <w:t>Головним предметом цієї пропозиції є Продукт №1 — «Управління ризиками безпеки та прогноз загроз»: система, що моделює реальний стан і динамічну стійкість магістральної мережі, оцінює ризики ураження критичних вузлів і прогнозує загрози, а не є дашбордом поверх SCADA. Це саме той напрям, який Компанія визначила пріоритетним. На відміну від концептів, продукт уже реалізований і доступний у вигляді робочого демонстраційного зразка — його логіку можна побачити в дії вже сьогодні.</w:t>
      </w:r>
    </w:p>
    <w:p/>
    <w:p>
      <w:r>
        <w:t>Орієнтири вартості Продукту №1:</w:t>
      </w:r>
    </w:p>
    <w:p/>
    <w:p>
      <w:pPr>
        <w:pStyle w:val="ListBullet"/>
      </w:pPr>
      <w:r>
        <w:t>повна реалізація — $26,9 млн;</w:t>
      </w:r>
    </w:p>
    <w:p>
      <w:pPr>
        <w:pStyle w:val="ListBullet"/>
      </w:pPr>
      <w:r>
        <w:t>мінімально життєздатна версія (MVP) — $10,8 млн.</w:t>
      </w:r>
    </w:p>
    <w:p/>
    <w:p>
      <w:r>
        <w:t>Модель залучення — разовий продаж із повною передачею продукту у власність Компанії, без подальшої технологічної залежності від розробника. Деталі вартості, припущення та сценарії наведені в Annex 5 (кошторис) і Annex 6 (обґрунтування вартості).</w:t>
      </w:r>
    </w:p>
    <w:p/>
    <w:p>
      <w:r>
        <w:t>Можемо реалізувати так само ще два окремі продукти — за окремим запитом.</w:t>
      </w:r>
    </w:p>
    <w:p/>
    <w:p>
      <w:r>
        <w:t>Окрім основного, ми готові реалізувати точно за такою ж моделлю (окремий проект, власне технічне завдання, окремий бюджет, окреме додаткове узгодження) ще два самостійні продукти. Кожен із них є повноцінним рішенням сам по собі та не потребує впровадження інших:</w:t>
      </w:r>
    </w:p>
    <w:p/>
    <w:p>
      <w:pPr>
        <w:pStyle w:val="ListBullet"/>
      </w:pPr>
      <w:r>
        <w:t>Продукт №2 — «Аналіз маніпуляцій на ринку (РСВ/ВСР)»: система виявлення зловживань на енергоринку та підтримка виконання вимог режиму REMIT (регламент ЄС щодо доброчесності та прозорості оптового енергоринку). Це окремий продукт, дешевший за Продукт №1, — $15,1 млн.</w:t>
      </w:r>
    </w:p>
    <w:p>
      <w:pPr>
        <w:pStyle w:val="ListBullet"/>
      </w:pPr>
      <w:r>
        <w:t>Продукт №3 — «Прогноз технологічних втрат»: прогнозна аналітика технологічних втрат магістральних мереж. Це найбільш готовий за вихідними даними напрям, що спирається на наявну базу облʼенерго, — $9,1 млн.</w:t>
      </w:r>
    </w:p>
    <w:p/>
    <w:p>
      <w:r>
        <w:t>Кожен із трьох продуктів подається як окремий проект з власним технічним завданням, окремим бюджетом та окремим додатковим узгодженням. Компанія може замовити лише Продукт №1, будь-яку пару чи всі три — на власний розсуд і в зручній послідовності.</w:t>
      </w:r>
    </w:p>
    <w:p/>
    <w:p>
      <w:r>
        <w:t>Авторські права та передача у власність. За кожним продуктом передбачається повна передача програмного продукту та вихідного коду у власність Компанії, з правом необмеженої експлуатації без технологічної залежності від розробника. Водночас авторські права, методологія, алгоритми та ноу-хау розробника залишаються за розробником — для подальшого розвитку нових продуктів і модулів. Передача є остаточною: Компанія не несе жодних зобовʼязань щодо подальшого супроводу саме нашою стороною та вільна залучати будь-якого іншого виконавця для подальшого розвитку рішення. Розробник, своєю чергою, не зобовʼязаний здійснювати супровід після передачі. Жодного «прив'язування до постачальника» (vendor lock-in) пропозиція не передбачає.</w:t>
      </w:r>
    </w:p>
    <w:p/>
    <w:p>
      <w:r>
        <w:t>Перспектива розвитку (горизонт після Продукту №1). Сьогодні предметом розмови є саме Продукт №1 — і ми робимо саме його, повноцінно та у власність Компанії. Водночас вважаємо чесним показати, що ми бачимо далі: коли Продукт №1 запрацює у вашому контурі, відкривається наступний крок росту — звʼязати його з Продуктами №2 і №3 спільною шиною даних із цілодобовим агентним контуром аналізу (Модель B). У такій конфігурації кожен продукт розкривається ширше, ніж окремо: сигнал ризику з Продукту №1 стає контекстом для ринкового нагляду Продукту №2 і для перерахунку технологічних втрат Продукту №3 — ефект, де 1+1+1 дає більше, ніж 3.</w:t>
      </w:r>
    </w:p>
    <w:p/>
    <w:p>
      <w:r>
        <w:t>Це перспектива, а не зобовʼязання цього етапу. Базовим сценарієм залишаються три окремі повноцінні продукти (Модель A); консолідація в єдину платформу — можливий наступний крок за окремим рішенням Компанії, коли Продукт №1 уже доведе свою цінність на практиці. Економія близько 25 % сукупної вартості при такому обʼєднанні (орієнтир $38,4 млн за повний пакет) — винагорода за консолідацію, а не умова входу. Абсолютні цифри та база розрахунку наведені в Annex 5/6.</w:t>
      </w:r>
    </w:p>
    <w:p/>
    <w:p>
      <w:r>
        <w:t>Чому це на часі. Рушієм, окрім воєнного контексту, є членство в ENTSO-E. Відповідність технічним вимогам обʼєднання, зокрема за напрямом ІТ, є передумовою подальшого розширення транскордонної торгової ємності (станом на 28.11.2023 межу перетину збільшено з 1200 до 1700 МВт за сукупністю фізичних, режимних і технічних факторів). Окремо вимоги ENTSO-E та режим REMIT роблять контур ринкового нагляду й моніторингу не опцією, а регуляторним зобовʼязанням оператора.</w:t>
      </w:r>
    </w:p>
    <w:p/>
    <w:p>
      <w:r>
        <w:t>*Примітка щодо REMIT-правозастосування в Україні: на момент підготовки цього листа ми не наводимо конкретних санкційних кейсів, оскільки не маємо їх підтвердженого офіційного джерела; точний стан правозастосування Правлінню відомий краще. Аргумент будується на чинному характері вимог, а не на окремому прецеденті.*</w:t>
      </w:r>
    </w:p>
    <w:p/>
    <w:p>
      <w:r>
        <w:t>Що в пакеті. До цього листа додаємо комплект документів, підготовлених як вхідні матеріали для фахового розгляду:</w:t>
      </w:r>
    </w:p>
    <w:p/>
    <w:tbl>
      <w:tblPr>
        <w:tblStyle w:val="LightGrid-Accent1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  <w:sz w:val="20"/>
              </w:rPr>
              <w:t>№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Документ</w:t>
            </w:r>
          </w:p>
        </w:tc>
        <w:tc>
          <w:tcPr>
            <w:tcW w:type="dxa" w:w="2880"/>
          </w:tcPr>
          <w:p>
            <w:r>
              <w:rPr>
                <w:b/>
                <w:sz w:val="20"/>
              </w:rPr>
              <w:t>Призначення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1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Технічне завдання Продукту №1 (за структурою ISO/IEC/IEEE 29148)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Управління ризиками безпеки та прогноз загроз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2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Технічне завдання Продукту №2 (за структурою ISO/IEC/IEEE 29148)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Аналіз маніпуляцій на ринку (РСВ/ВСР)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3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Технічне завдання Продукту №3 (за структурою ISO/IEC/IEEE 29148)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Прогноз технологічних втрат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4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Технічне завдання Платформи (за структурою ISO/IEC/IEEE 29148)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Опційне обʼєднання трьох продуктів спільною шиною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5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Кошторис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Структура та обсяг вартості</w:t>
            </w:r>
          </w:p>
        </w:tc>
      </w:tr>
      <w:tr>
        <w:tc>
          <w:tcPr>
            <w:tcW w:type="dxa" w:w="2880"/>
          </w:tcPr>
          <w:p>
            <w:r>
              <w:rPr>
                <w:sz w:val="20"/>
              </w:rPr>
              <w:t>Annex 6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Обґрунтування вартості</w:t>
            </w:r>
          </w:p>
        </w:tc>
        <w:tc>
          <w:tcPr>
            <w:tcW w:type="dxa" w:w="2880"/>
          </w:tcPr>
          <w:p>
            <w:r>
              <w:rPr>
                <w:sz w:val="20"/>
              </w:rPr>
              <w:t>Привʼязка до ринкових якорів, 70 джерел</w:t>
            </w:r>
          </w:p>
        </w:tc>
      </w:tr>
    </w:tbl>
    <w:p/>
    <w:p/>
    <w:p>
      <w:r>
        <w:t>Структуру технічних завдань узгоджено з міжнародним стандартом вимог ISO/IEC/IEEE 29148; за потреби документи можуть бути приведені до чинних ДСТУ замовника.</w:t>
      </w:r>
    </w:p>
    <w:p/>
    <w:p>
      <w:r>
        <w:t>Модель залучення та закупівлі. Ми позиціонуємо доданий пакет не як комерційну оферту, а як вхідні матеріали до формування технічних вимог замовником. Будь-яке подальше залучення передбачається виключно в межах процедур публічних закупівель (Prozorro / Закон України «Про публічні закупівлі») — як участь у відкритих торгах або як пілот у рамках дозволених законом процедур. Жодного обходу закупівельного процесу пропозиція не передбачає; матеріали призначені допомогти Компанії точніше сформулювати власні вимоги.</w:t>
      </w:r>
    </w:p>
    <w:p/>
    <w:p>
      <w:r>
        <w:t>Демонстраційний портал. Запрошуємо ознайомитися з робочим зразком Продукту №1 — https://ukrenergo.radai-1984.dev, — де також представлено логіку Продуктів №2 і №3 та (як опцію) сценарій їх обʼєднання спільною шиною даних. Портал працює виключно на синтетичних і публічно доступних даних; жодних даних Укренерго він не містить і не обробляє. У разі переходу до пілоту рішення розгортається в контурі замовника відповідно до його вимог з кібербезпеки. Це робочий прототип логіки рішення, а не його продуктивне середовище.</w:t>
      </w:r>
    </w:p>
    <w:p/>
    <w:p>
      <w:r>
        <w:t>Наступний крок. Будемо вдячні за можливість провести робочу зустріч (очно або дистанційно) для демонстрації готового Продукту №1 та відповідей на запитання профільних підрозділів Компанії. Готові узгодити час у зручний для Вас спосіб.</w:t>
      </w:r>
    </w:p>
    <w:p/>
    <w:p>
      <w:r>
        <w:t>З повагою,</w:t>
      </w:r>
    </w:p>
    <w:p/>
    <w:p>
      <w:r>
        <w:t>________________________</w:t>
      </w:r>
    </w:p>
    <w:p>
      <w:r>
        <w:t>(підпис, ПІБ, посада)</w:t>
      </w:r>
    </w:p>
    <w:p>
      <w:r>
        <w:t>(контактні дані)</w:t>
      </w:r>
    </w:p>
    <w:p/>
    <w:p/>
    <w:p>
      <w:r>
        <w:t>*Додатки: Annex 1–6 згідно з переліком вище.*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40"/>
      <w:ind w:firstLine="709"/>
      <w:jc w:val="both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ind w:firstLine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ind w:firstLine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ind w:firstLine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