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«Управління ризиками безпеки та прогнозування загроз ОЕС України (фізичний двійник магістральної мережі)»</w:t>
      </w:r>
    </w:p>
    <w:p>
      <w:pPr>
        <w:jc w:val="center"/>
      </w:pPr>
      <w:r>
        <w:rPr>
          <w:b w:val="0"/>
          <w:sz w:val="24"/>
        </w:rPr>
        <w:t>(АС А1)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ТЕХНІЧНЕ ЗАВДАННЯ</w:t>
        <w:br/>
        <w:t>на створення системи (самостійний продукт)</w:t>
      </w:r>
    </w:p>
    <w:p/>
    <w:p/>
    <w:p>
      <w:pPr>
        <w:jc w:val="center"/>
      </w:pPr>
      <w:r>
        <w:rPr>
          <w:sz w:val="22"/>
        </w:rPr>
        <w:t>Позначення документа: UE-A1.ТЗ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pPr>
        <w:pStyle w:val="Heading1"/>
      </w:pPr>
      <w:r>
        <w:t>ТЕХНІЧНЕ ЗАВДАННЯ</w:t>
      </w:r>
    </w:p>
    <w:p>
      <w:pPr>
        <w:pStyle w:val="Heading2"/>
      </w:pPr>
      <w:r>
        <w:t>на створення автоматизованої системи «Управління ризиками безпеки та прогнозування загроз для ОЕС України (фізичний двійник магістральної мережі)»</w:t>
      </w:r>
    </w:p>
    <w:p/>
    <w:p>
      <w:r>
        <w:t>Позначення документа: UE-A1.ТЗ</w:t>
      </w:r>
    </w:p>
    <w:p>
      <w:r>
        <w:t>Редакція: 1.0</w:t>
      </w:r>
    </w:p>
    <w:p>
      <w:r>
        <w:t>Київ, 2026</w:t>
      </w:r>
    </w:p>
    <w:p/>
    <w:p>
      <w:r>
        <w:t>Гриф обмеження доступу: для Етапу-1 (MVP на синтетиці та відкритих даних) — «для службового користування» (ДСК), без відомостей, що становлять державну таємницю; для Етапу-2 (повна система на реальних даних ОЕС) — до «цілком таємно» згідно з ЗУ «Про державну таємницю» та ЗВДТ, з експлуатацією у складі атестованого КСЗІ.</w:t>
      </w:r>
    </w:p>
    <w:p/>
    <w:p>
      <w:r>
        <w:t>Розроблено відповідно до ДСТУ ГОСТ 34.602.</w:t>
      </w:r>
    </w:p>
    <w:p/>
    <w:p/>
    <w:p>
      <w:pPr>
        <w:pStyle w:val="Heading2"/>
      </w:pPr>
      <w:r>
        <w:t>ПЕРЕЛІК УМОВНИХ ПОЗНАЧЕНЬ І СКОРОЧЕНЬ</w:t>
      </w:r>
    </w:p>
    <w:p/>
    <w:p>
      <w:pPr>
        <w:pStyle w:val="ListBullet"/>
      </w:pPr>
      <w:r>
        <w:t>АС — автоматизована система</w:t>
      </w:r>
    </w:p>
    <w:p>
      <w:pPr>
        <w:pStyle w:val="ListBullet"/>
      </w:pPr>
      <w:r>
        <w:t>ОЕС — Об'єднана енергосистема України</w:t>
      </w:r>
    </w:p>
    <w:p>
      <w:pPr>
        <w:pStyle w:val="ListBullet"/>
      </w:pPr>
      <w:r>
        <w:t>TSO — оператор системи передачі (НЕК «Укренерго»)</w:t>
      </w:r>
    </w:p>
    <w:p>
      <w:pPr>
        <w:pStyle w:val="ListBullet"/>
      </w:pPr>
      <w:r>
        <w:t>ТЗ — технічне завдання</w:t>
      </w:r>
    </w:p>
    <w:p>
      <w:pPr>
        <w:pStyle w:val="ListBullet"/>
      </w:pPr>
      <w:r>
        <w:t>ВЛ — повітряна лінія електропередачі</w:t>
      </w:r>
    </w:p>
    <w:p>
      <w:pPr>
        <w:pStyle w:val="ListBullet"/>
      </w:pPr>
      <w:r>
        <w:t>ПС — підстанція</w:t>
      </w:r>
    </w:p>
    <w:p>
      <w:pPr>
        <w:pStyle w:val="ListBullet"/>
      </w:pPr>
      <w:r>
        <w:t>ВН/СВН — висока / надвисока напруга (330 / 750 кВ)</w:t>
      </w:r>
    </w:p>
    <w:p>
      <w:pPr>
        <w:pStyle w:val="ListBullet"/>
      </w:pPr>
      <w:r>
        <w:t>N-1 / N-k — аналіз відмов 1 / k елементів мережі (критерій надійності)</w:t>
      </w:r>
    </w:p>
    <w:p>
      <w:pPr>
        <w:pStyle w:val="ListBullet"/>
      </w:pPr>
      <w:r>
        <w:t>PRA — імовірнісний аналіз ризику (probabilistic risk assessment)</w:t>
      </w:r>
    </w:p>
    <w:p>
      <w:pPr>
        <w:pStyle w:val="ListBullet"/>
      </w:pPr>
      <w:r>
        <w:t>RBAC — рольова модель розмежування доступу (role-based access control)</w:t>
      </w:r>
    </w:p>
    <w:p>
      <w:pPr>
        <w:pStyle w:val="ListBullet"/>
      </w:pPr>
      <w:r>
        <w:t>RLS/CLS — захист на рівні рядків / стовпців (row-/column-level security)</w:t>
      </w:r>
    </w:p>
    <w:p>
      <w:pPr>
        <w:pStyle w:val="ListBullet"/>
      </w:pPr>
      <w:r>
        <w:t>NL→SQL — перетворення природномовного запиту на SQL</w:t>
      </w:r>
    </w:p>
    <w:p>
      <w:pPr>
        <w:pStyle w:val="ListBullet"/>
      </w:pPr>
      <w:r>
        <w:t>КСЗІ — комплексна система захисту інформації</w:t>
      </w:r>
    </w:p>
    <w:p>
      <w:pPr>
        <w:pStyle w:val="ListBullet"/>
      </w:pPr>
      <w:r>
        <w:t>НД ТЗІ — нормативний документ системи технічного захисту інформації</w:t>
      </w:r>
    </w:p>
    <w:p>
      <w:pPr>
        <w:pStyle w:val="ListBullet"/>
      </w:pPr>
      <w:r>
        <w:t>ДСК — для службового користування</w:t>
      </w:r>
    </w:p>
    <w:p>
      <w:pPr>
        <w:pStyle w:val="ListBullet"/>
      </w:pPr>
      <w:r>
        <w:t>MVP — мінімально життєздатний продукт (Етап-1)</w:t>
      </w:r>
    </w:p>
    <w:p>
      <w:pPr>
        <w:pStyle w:val="ListBullet"/>
      </w:pPr>
      <w:r>
        <w:t>SCADA/АСКОЕ — системи диспетчерського керування та обліку електроенергії</w:t>
      </w:r>
    </w:p>
    <w:p>
      <w:pPr>
        <w:pStyle w:val="ListBullet"/>
      </w:pPr>
      <w:r>
        <w:t>ENTSO-E — Європейська мережа операторів систем передачі електроенергії</w:t>
      </w:r>
    </w:p>
    <w:p>
      <w:pPr>
        <w:pStyle w:val="ListBullet"/>
      </w:pPr>
      <w:r>
        <w:t>data_origin — атрибут походження даних (SYNTHETIC / OPEN_DATA / NDA_CALIBRATED)</w:t>
      </w:r>
    </w:p>
    <w:p/>
    <w:p>
      <w:pPr>
        <w:pStyle w:val="Heading2"/>
      </w:pPr>
      <w:r>
        <w:t>ПЕРЕЛІК НОРМАТИВНИХ ПОСИЛАНЬ</w:t>
      </w:r>
    </w:p>
    <w:p/>
    <w:p>
      <w:pPr>
        <w:pStyle w:val="ListBullet"/>
      </w:pPr>
      <w:r>
        <w:t>ГОСТ 34.602-89. Технічне завдання на створення автоматизованої системи (галузевий стандарт оформлення ТЗ на АС);</w:t>
      </w:r>
    </w:p>
    <w:p>
      <w:pPr>
        <w:pStyle w:val="ListBullet"/>
      </w:pPr>
      <w:r>
        <w:t>ГОСТ 34.601-90. Автоматизовані системи. Стадії створення;</w:t>
      </w:r>
    </w:p>
    <w:p>
      <w:pPr>
        <w:pStyle w:val="ListBullet"/>
      </w:pPr>
      <w:r>
        <w:t>ГОСТ 34.201-89. Види, комплектність і позначення документів при створенні АС;</w:t>
      </w:r>
    </w:p>
    <w:p>
      <w:pPr>
        <w:pStyle w:val="ListBullet"/>
      </w:pPr>
      <w:r>
        <w:t>ГОСТ 34.003-90. Інформаційна технологія. АС. Терміни та визначення;</w:t>
      </w:r>
    </w:p>
    <w:p>
      <w:pPr>
        <w:pStyle w:val="ListBullet"/>
      </w:pPr>
      <w:r>
        <w:t>ДСТУ ГОСТ 2.105. Загальні вимоги до текстових документів;</w:t>
      </w:r>
    </w:p>
    <w:p>
      <w:pPr>
        <w:pStyle w:val="ListBullet"/>
      </w:pPr>
      <w:r>
        <w:t>ДСТУ 4163:2020. Уніфікована система організаційно-розпорядчої документації;</w:t>
      </w:r>
    </w:p>
    <w:p>
      <w:pPr>
        <w:pStyle w:val="ListBullet"/>
      </w:pPr>
      <w:r>
        <w:t>ДСТУ ISO/IEC 12207:2014. Процеси життєвого циклу програмного забезпечення;</w:t>
      </w:r>
    </w:p>
    <w:p>
      <w:pPr>
        <w:pStyle w:val="ListBullet"/>
      </w:pPr>
      <w:r>
        <w:t>НД ТЗІ 1.1-002-99; НД ТЗІ 2.5-004-99; НД ТЗІ 2.5-005-99; НД ТЗІ 3.7-001-99; НД ТЗІ 3.7-003-05;</w:t>
      </w:r>
    </w:p>
    <w:p>
      <w:pPr>
        <w:pStyle w:val="ListBullet"/>
      </w:pPr>
      <w:r>
        <w:t>ДСТУ 3396.0-96; ДСТУ 3396.1-96. Технічний захист інформації;</w:t>
      </w:r>
    </w:p>
    <w:p>
      <w:pPr>
        <w:pStyle w:val="ListBullet"/>
      </w:pPr>
      <w:r>
        <w:t>Закон України «Про критичну інфраструктуру»; Закон України «Про державну таємницю»;</w:t>
      </w:r>
    </w:p>
    <w:p>
      <w:pPr>
        <w:pStyle w:val="ListBullet"/>
      </w:pPr>
      <w:r>
        <w:t>Кодекс системи передачі (НКРЕКП); вимоги ENTSO-E (Continental Europe System Operation Guideline, Transparency Platform).</w:t>
      </w:r>
    </w:p>
    <w:p/>
    <w:p/>
    <w:p>
      <w:pPr>
        <w:pStyle w:val="Heading2"/>
      </w:pPr>
      <w:r>
        <w:t>1. ЗАГАЛЬНІ ВІДОМОСТІ</w:t>
      </w:r>
    </w:p>
    <w:p/>
    <w:p>
      <w:pPr>
        <w:pStyle w:val="Heading3"/>
      </w:pPr>
      <w:r>
        <w:t>1.1. Найменування системи</w:t>
      </w:r>
    </w:p>
    <w:p>
      <w:r>
        <w:t>Повне найменування: Автоматизована система управління ризиками безпеки та прогнозування загроз для Об'єднаної енергосистеми України (фізичний двійник магістральної мережі 750/330 кВ).</w:t>
      </w:r>
    </w:p>
    <w:p>
      <w:r>
        <w:t>Скорочене найменування: АС «А1» / «Двійник-Ризики» (далі — Система).</w:t>
      </w:r>
    </w:p>
    <w:p/>
    <w:p>
      <w:pPr>
        <w:pStyle w:val="Heading3"/>
      </w:pPr>
      <w:r>
        <w:t>1.2. Статус продукту (інваріант самостійності)</w:t>
      </w:r>
    </w:p>
    <w:p>
      <w:r>
        <w:t>Система є самостійним програмним продуктом. Вона постачається окремо, із власним ТЗ, окремим бюджетом і окремим додатковим договором. Передбачена повна передача продукту Замовнику без технологічної залежності від розробника (передання вихідних кодів, моделей даних, документації, інструментарію розгортання та калібрування), зі збереженням авторських прав за розробником і правом подальшого розвитку.</w:t>
      </w:r>
    </w:p>
    <w:p/>
    <w:p>
      <w:r>
        <w:t>Система працює повноцінно без двох інших рішень Замовника (А2 — нагляд за маніпуляціями РСВ/ВСР; А3 — прогноз технологічних втрат). Інтеграція з іншими рішеннями є опціональною й реалізується через окремий інтеграційний шар, описаний окремим рамковим ТЗ інтеграційного шару (шина подій). Відсутність шини або суміжних продуктів не обмежує жодної функції цього ТЗ.</w:t>
      </w:r>
    </w:p>
    <w:p/>
    <w:p>
      <w:pPr>
        <w:pStyle w:val="Heading3"/>
      </w:pPr>
      <w:r>
        <w:t>1.3. Шифр теми</w:t>
      </w:r>
    </w:p>
    <w:p>
      <w:r>
        <w:t>Встановлюється договором на створення Системи.</w:t>
      </w:r>
    </w:p>
    <w:p/>
    <w:p>
      <w:pPr>
        <w:pStyle w:val="Heading3"/>
      </w:pPr>
      <w:r>
        <w:t>1.4. Замовник та виконавець</w:t>
      </w:r>
    </w:p>
    <w:p>
      <w:r>
        <w:t>Замовник: НЕК «Укренерго» — оператор системи передачі, диспетчерський (системний) оператор ОЕС України.</w:t>
      </w:r>
    </w:p>
    <w:p>
      <w:r>
        <w:t>Виконавець: визначається за результатами процедури закупівлі.</w:t>
      </w:r>
    </w:p>
    <w:p/>
    <w:p>
      <w:pPr>
        <w:pStyle w:val="Heading3"/>
      </w:pPr>
      <w:r>
        <w:t>1.5. Підстава для розроблення</w:t>
      </w:r>
    </w:p>
    <w:p>
      <w:pPr>
        <w:pStyle w:val="ListBullet"/>
      </w:pPr>
      <w:r>
        <w:t>Рішення Замовника про створення інтелектуальної системи аналізу ризиків для об'єктів критичної енергетичної інфраструктури (РІШЕННЯ 1 Програми співпраці);</w:t>
      </w:r>
    </w:p>
    <w:p>
      <w:pPr>
        <w:pStyle w:val="ListBullet"/>
      </w:pPr>
      <w:r>
        <w:t>завдання забезпечення фізичної безпеки та стійкості функціонування ОЕС в умовах підвищених загроз;</w:t>
      </w:r>
    </w:p>
    <w:p>
      <w:pPr>
        <w:pStyle w:val="ListBullet"/>
      </w:pPr>
      <w:r>
        <w:t>зобов'язання з інтеграції ОЕС до ENTSO-E та вимоги до надійності системоутворюючої мережі.</w:t>
      </w:r>
    </w:p>
    <w:p/>
    <w:p>
      <w:pPr>
        <w:pStyle w:val="Heading3"/>
      </w:pPr>
      <w:r>
        <w:t>1.6. Планові терміни</w:t>
      </w:r>
    </w:p>
    <w:p>
      <w:r>
        <w:t>Визначаються календарним планом (розділ 5). Роботи виконуються у два етапи: Етап-1 (MVP) та Етап-2 (повна система).</w:t>
      </w:r>
    </w:p>
    <w:p/>
    <w:p>
      <w:pPr>
        <w:pStyle w:val="Heading3"/>
      </w:pPr>
      <w:r>
        <w:t>1.7. Склад Системи (самодостатній)</w:t>
      </w:r>
    </w:p>
    <w:p>
      <w:r>
        <w:t>Система являє собою закінчене рішення з таких власних складників (без зовнішніх залежностей):</w:t>
      </w:r>
    </w:p>
    <w:p>
      <w:pPr>
        <w:pStyle w:val="ListBullet"/>
      </w:pPr>
      <w:r>
        <w:t>цифровий фізичний двійник магістральної мережі 750/330 кВ;</w:t>
      </w:r>
    </w:p>
    <w:p>
      <w:pPr>
        <w:pStyle w:val="ListBullet"/>
      </w:pPr>
      <w:r>
        <w:t>двигун масового моделювання сценаріїв режимів (N-1/N-k, комбінації умов);</w:t>
      </w:r>
    </w:p>
    <w:p>
      <w:pPr>
        <w:pStyle w:val="ListBullet"/>
      </w:pPr>
      <w:r>
        <w:t>підсистема оцінки ризиків і загроз (PRA, ранжування критичності);</w:t>
      </w:r>
    </w:p>
    <w:p>
      <w:pPr>
        <w:pStyle w:val="ListBullet"/>
      </w:pPr>
      <w:r>
        <w:t>карта ризиків і загроз (геопросторовий та топологічний шар);</w:t>
      </w:r>
    </w:p>
    <w:p>
      <w:pPr>
        <w:pStyle w:val="ListBullet"/>
      </w:pPr>
      <w:r>
        <w:t>аналітичні панелі для оперативного персоналу та для керівництва;</w:t>
      </w:r>
    </w:p>
    <w:p>
      <w:pPr>
        <w:pStyle w:val="ListBullet"/>
      </w:pPr>
      <w:r>
        <w:t>власний агентний шар А1 (дві віддачі агентів + агент-бібліотекар NL→SQL) — внутрішній компонент продукту, а не зовнішня сутність порталу;</w:t>
      </w:r>
    </w:p>
    <w:p>
      <w:pPr>
        <w:pStyle w:val="ListBullet"/>
      </w:pPr>
      <w:r>
        <w:t>власне ядро RBAC (інваріант даних) з окремим контуром допуску саме до А1.</w:t>
      </w:r>
    </w:p>
    <w:p/>
    <w:p/>
    <w:p>
      <w:pPr>
        <w:pStyle w:val="Heading2"/>
      </w:pPr>
      <w:r>
        <w:t>2. ПРИЗНАЧЕННЯ ТА ЦІЛІ СТВОРЕННЯ СИСТЕМИ</w:t>
      </w:r>
    </w:p>
    <w:p/>
    <w:p>
      <w:pPr>
        <w:pStyle w:val="Heading3"/>
      </w:pPr>
      <w:r>
        <w:t>2.1. Призначення</w:t>
      </w:r>
    </w:p>
    <w:p>
      <w:r>
        <w:t>Система призначена для інтелектуального аналізу ризиків і прогнозування загроз об'єктам магістральної електричної мережі ОЕС засобами цифрового фізичного двійника. Система масово моделює сценарії режимів мережі 750/330 кВ, виявляє небезпечні події та «вузькі місця», оцінює вплив ризиків на роботу енергосистеми, аналізує історичні інциденти, прогнозує сценарії розвитку подій і працює як система раннього попередження.</w:t>
      </w:r>
    </w:p>
    <w:p/>
    <w:p>
      <w:r>
        <w:t>Система реалізує двосторонній принцип «щит = меч»: кожна аналітична спроможність (пошук вузьких місць, реконструкція аварійних каскадів, оцінка критичних комбінацій умов) одночасно слугує захисту власної мережі (щит) і виявленню точок зовнішнього впливу (меч). Обидві сторони працюють на одному ядрі моделі; двосторонність фіксується в моделі загроз і в обмеженнях експорту.</w:t>
      </w:r>
    </w:p>
    <w:p/>
    <w:p>
      <w:pPr>
        <w:pStyle w:val="Heading3"/>
      </w:pPr>
      <w:r>
        <w:t>2.2. Наскрізний продуктовий патерн (всередині А1)</w:t>
      </w:r>
    </w:p>
    <w:p>
      <w:r>
        <w:t>У межах самого продукту А1 діє наскрізний патерн:</w:t>
      </w:r>
    </w:p>
    <w:p>
      <w:r>
        <w:t>мільйони сценаріїв режимів → накопичення Big Data результатів прогонів → дві віддачі агентів (а) підтяжка/калібрування двійника до фізики, (б) прикладні інсайти щодо ризиків → людина-аналітик отримує доступ через агента-бібліотекаря (NL→SQL, графіки, пояснення).</w:t>
      </w:r>
    </w:p>
    <w:p>
      <w:r>
        <w:t>Агенти — внутрішній шар продукту А1, що працює навіть за повної відсутності інших рішень.</w:t>
      </w:r>
    </w:p>
    <w:p/>
    <w:p>
      <w:pPr>
        <w:pStyle w:val="Heading3"/>
      </w:pPr>
      <w:r>
        <w:t>2.3. Цілі</w:t>
      </w:r>
    </w:p>
    <w:p>
      <w:pPr>
        <w:pStyle w:val="ListBullet"/>
      </w:pPr>
      <w:r>
        <w:t>підвищення достовірності оцінки стійкості та режимів ОЕС 750/330 кВ;</w:t>
      </w:r>
    </w:p>
    <w:p>
      <w:pPr>
        <w:pStyle w:val="ListBullet"/>
      </w:pPr>
      <w:r>
        <w:t>завчасне (раннє) виявлення небезпечних сценаріїв, вузьких місць і критичних комбінацій умов (час доби × погода × конфігурація мережі × рівень навантаження);</w:t>
      </w:r>
    </w:p>
    <w:p>
      <w:pPr>
        <w:pStyle w:val="ListBullet"/>
      </w:pPr>
      <w:r>
        <w:t>формування обґрунтованого переліку «що зміцнювати першочергово» (Pareto-вивід за впливом елементів на ризик);</w:t>
      </w:r>
    </w:p>
    <w:p>
      <w:pPr>
        <w:pStyle w:val="ListBullet"/>
      </w:pPr>
      <w:r>
        <w:t>калібрування двійника до реальної фізики (зона деталізації Етапу-2);</w:t>
      </w:r>
    </w:p>
    <w:p>
      <w:pPr>
        <w:pStyle w:val="ListBullet"/>
      </w:pPr>
      <w:r>
        <w:t>забезпечення керівництва та оперативного персоналу єдиною картою ризиків і раннім попередженням.</w:t>
      </w:r>
    </w:p>
    <w:p/>
    <w:p>
      <w:pPr>
        <w:pStyle w:val="Heading3"/>
      </w:pPr>
      <w:r>
        <w:t>2.4. Критерії досягнення цілей</w:t>
      </w:r>
    </w:p>
    <w:p>
      <w:r>
        <w:t>Кількісні показники (частка коректно відтворених режимів проти референсу, повнота виявлення критичних N-1/N-k подій на тестовому наборі, час повного перебору базового сценарного простору, частка ранніх попереджень із підтвердженням, стабільність Pareto-рейтингу) встановлюються на Етапі-1 як baseline за синтетикою/відкритими даними та уточнюються на Етапі-2. Конкретні значення фіксуються у програмі та методиках випробувань (розділ 6).</w:t>
      </w:r>
    </w:p>
    <w:p/>
    <w:p/>
    <w:p>
      <w:pPr>
        <w:pStyle w:val="Heading2"/>
      </w:pPr>
      <w:r>
        <w:t>3. ХАРАКТЕРИСТИКА ОБ'ЄКТІВ АВТОМАТИЗАЦІЇ</w:t>
      </w:r>
    </w:p>
    <w:p/>
    <w:p>
      <w:pPr>
        <w:pStyle w:val="Heading3"/>
      </w:pPr>
      <w:r>
        <w:t>3.1. Об'єкти автоматизації</w:t>
      </w:r>
    </w:p>
    <w:p>
      <w:r>
        <w:t>Системоутворююча (магістральна) електрична мережа ОЕС України — лінії та підстанції класів напруги 750 кВ і 330 кВ, а також суміжні елементи (трансформатори зв'язку, шунтуючі реактори, пристрої РЗА у частині, що впливає на режим), потрібні для коректного моделювання режимів і оцінки ризиків. Об'єктом автоматизації є також процес оцінки ризиків і раннього попередження (від збору даних до формування рекомендацій «що зміцнювати»).</w:t>
      </w:r>
    </w:p>
    <w:p/>
    <w:p>
      <w:pPr>
        <w:pStyle w:val="Heading3"/>
      </w:pPr>
      <w:r>
        <w:t>3.2. Джерела та характер даних, маркування походження</w:t>
      </w:r>
    </w:p>
    <w:p>
      <w:r>
        <w:t>Кожен запис у моделі даних має обов'язковий атрибут data_origin:</w:t>
      </w:r>
    </w:p>
    <w:p>
      <w:pPr>
        <w:pStyle w:val="ListBullet"/>
      </w:pPr>
      <w:r>
        <w:t>SYNTHETIC — генеровані сценарії, топологія та режими (основа Етапу-1);</w:t>
      </w:r>
    </w:p>
    <w:p>
      <w:pPr>
        <w:pStyle w:val="ListBullet"/>
      </w:pPr>
      <w:r>
        <w:t>OPEN_DATA — відкриті дані ENTSO-E Transparency Platform (перетоки, навантаження, генерація), відкрите метео, публічні дані про інциденти;</w:t>
      </w:r>
    </w:p>
    <w:p>
      <w:pPr>
        <w:pStyle w:val="ListBullet"/>
      </w:pPr>
      <w:r>
        <w:t>NDA_CALIBRATED — реальні телеметричні/режимні дані ОЕС (SCADA/АСКОЕ, реальна топологія) під NDA — виключно Етап-2.</w:t>
      </w:r>
    </w:p>
    <w:p/>
    <w:p>
      <w:r>
        <w:t>Принцип демаркації: жодна функція MVP не повинна потребувати даних під грифом. Якщо функцію неможливо продемонструвати на SYNTHETIC + OPEN_DATA — вона за визначенням належить Етапу-2.</w:t>
      </w:r>
    </w:p>
    <w:p/>
    <w:p>
      <w:pPr>
        <w:pStyle w:val="Heading3"/>
      </w:pPr>
      <w:r>
        <w:t>3.3. Умови експлуатації</w:t>
      </w:r>
    </w:p>
    <w:p>
      <w:r>
        <w:t>Етап-1 — у несекретному середовищі (ДСК), без обробки державної таємниці. Етап-2 — виключно у складі КСЗІ на захищеному (за потреби ізольованому) обчислювальному контурі Замовника. Перехід між контурами — без перенесення секретних даних у несекретне середовище.</w:t>
      </w:r>
    </w:p>
    <w:p/>
    <w:p/>
    <w:p>
      <w:pPr>
        <w:pStyle w:val="Heading2"/>
      </w:pPr>
      <w:r>
        <w:t>4. ВИМОГИ ДО СИСТЕМИ</w:t>
      </w:r>
    </w:p>
    <w:p/>
    <w:p>
      <w:pPr>
        <w:pStyle w:val="Heading3"/>
      </w:pPr>
      <w:r>
        <w:t>4.1. Загальносистемні вимоги</w:t>
      </w:r>
    </w:p>
    <w:p>
      <w:r>
        <w:t>4.1.1. Самодостатність. Усі функції Системи доступні автономно, без зовнішніх продуктів і без шини подій. Будь-яка інтеграція — опціональний адаптер, відмова якого не впливає на ядро (graceful degradation з маркуванням достовірності).</w:t>
      </w:r>
    </w:p>
    <w:p/>
    <w:p>
      <w:r>
        <w:t>4.1.2. Внутрішній агентний шар А1. Власний агентний шар продукту забезпечує: запуск і керування масовою генерацією сценаріїв та накопиченням Big Data; дві віддачі агентів (підтяжка двійника до фізики + прикладні інсайти щодо ризику); агента-бібліотекаря (NL→SQL, вибірки, графіки, пояснення українською); незмінне журналювання дій агентів (трасування, відтворюваність).</w:t>
      </w:r>
    </w:p>
    <w:p/>
    <w:p>
      <w:r>
        <w:t>4.1.3. RBAC = ДНК (власний контур А1). Рольова модель — архітектурний інваріант, вбудований у ядро даних і в кожен запит, а не зовнішній екран. RBAC застосовується на рівні рядків і стовпців (RLS/CLS): до об'єктів мережі, сценаріїв, зрізів ризику та до результатів роботи агентів. Допуск до А1 є окремим від допусків до інших рішень: користувач може мати доступ до А1 і не мати доступу до А2/А3. Жоден модуль, агент чи інтерфейс не отримує даних в обхід RBAC; перевірка прав — на кожній операції читання/запису, включно із запитами агента-бібліотекаря.</w:t>
      </w:r>
    </w:p>
    <w:p/>
    <w:p>
      <w:r>
        <w:t>4.1.4. Двосторонність «щит = меч». Кожна аналітична функція проектується так, щоб одночасно слугувати захисту власної мережі та виявленню зовнішнього впливу; для кожної спроможності оцінюється ризик зловживання, експорт чутливих зрізів обмежено й журналюється.</w:t>
      </w:r>
    </w:p>
    <w:p/>
    <w:p>
      <w:r>
        <w:t>4.1.5. Масштабованість. Архітектура витримує зростання обсягів сценаріїв (горизонтальне масштабування обчислень і сховища Big Data).</w:t>
      </w:r>
    </w:p>
    <w:p/>
    <w:p>
      <w:pPr>
        <w:pStyle w:val="Heading3"/>
      </w:pPr>
      <w:r>
        <w:t>4.2. Вимоги до видів забезпечення</w:t>
      </w:r>
    </w:p>
    <w:p>
      <w:pPr>
        <w:pStyle w:val="ListBullet"/>
      </w:pPr>
      <w:r>
        <w:t>Математичне/алгоритмічне: генерація та масовий прогін сценаріїв режимів, аналіз N-1/N-k, агрегація PRA, ранжування критичності (Pareto). Забороняється «вигадування» фізичних формул: на рівні цього ТЗ фіксується *що* система робить і *вимоги до результату*; конкретні рівняння режимів та калібрування — зона доменної деталізації Етапу-2.</w:t>
      </w:r>
    </w:p>
    <w:p>
      <w:pPr>
        <w:pStyle w:val="ListBullet"/>
      </w:pPr>
      <w:r>
        <w:t>Інформаційне: єдина модель даних об'єктів мережі та сценаріїв, сховище Big Data прогонів, каталог даних із розміткою data_origin, грифу та прав доступу.</w:t>
      </w:r>
    </w:p>
    <w:p>
      <w:pPr>
        <w:pStyle w:val="ListBullet"/>
      </w:pPr>
      <w:r>
        <w:t>Лінгвістичне: природномовний інтерфейс агента-бібліотекаря (українська); внутрішня мова запитів — SQL.</w:t>
      </w:r>
    </w:p>
    <w:p>
      <w:pPr>
        <w:pStyle w:val="ListBullet"/>
      </w:pPr>
      <w:r>
        <w:t>Програмне: агентний шар А1, підсистеми моделювання/ризику/карти, сервіси доступу; конкретний стек — стадія проектування.</w:t>
      </w:r>
    </w:p>
    <w:p>
      <w:pPr>
        <w:pStyle w:val="ListBullet"/>
      </w:pPr>
      <w:r>
        <w:t>Технічне: обчислювальні потужності під масові прогони; для Етапу-2 — атестований за КСЗІ контур.</w:t>
      </w:r>
    </w:p>
    <w:p>
      <w:pPr>
        <w:pStyle w:val="ListBullet"/>
      </w:pPr>
      <w:r>
        <w:t>Організаційне/методичне: регламенти ролей, інструкції користувачів, методики калібрування та верифікації.</w:t>
      </w:r>
    </w:p>
    <w:p/>
    <w:p>
      <w:pPr>
        <w:pStyle w:val="Heading3"/>
      </w:pPr>
      <w:r>
        <w:t>4.3. Вимоги до надійності</w:t>
      </w:r>
    </w:p>
    <w:p>
      <w:r>
        <w:t>Готовність аналітичного контуру; ізоляція збоїв; коректне відновлення без втрати накопичених сценаріїв (резервне копіювання Big Data і моделей); відтворюваність будь-якого інсайту до вихідних даних і параметрів прогону; автоматичні перевірки цілісності даних і виявлення дрейфу моделей.</w:t>
      </w:r>
    </w:p>
    <w:p/>
    <w:p>
      <w:pPr>
        <w:pStyle w:val="Heading3"/>
      </w:pPr>
      <w:r>
        <w:t>4.4. Вимоги до безпеки та таємності</w:t>
      </w:r>
    </w:p>
    <w:p>
      <w:r>
        <w:t>Гриф: Етап-1 — ДСК; Етап-2 — до «цілком таємно». RBAC як інваріант ядра (4.1.3), мінімально необхідні привілеї. Для Етапу-2 — експлуатація у складі КСЗІ з підтвердженням відповідності (атестація) за НД ТЗІ; криптозахист, контроль доступу, реєстрація подій безпеки, повний незмінний аудит дій користувачів і агентів.</w:t>
      </w:r>
    </w:p>
    <w:p/>
    <w:p>
      <w:pPr>
        <w:pStyle w:val="Heading3"/>
      </w:pPr>
      <w:r>
        <w:t>4.5. Вимоги до інтерфейсу (рівні користувачів)</w:t>
      </w:r>
    </w:p>
    <w:p>
      <w:r>
        <w:t>Мова інтерфейсу та документації — українська. Три рівні з розмежуванням за RBAC:</w:t>
      </w:r>
    </w:p>
    <w:p>
      <w:pPr>
        <w:pStyle w:val="ListBullet"/>
      </w:pPr>
      <w:r>
        <w:t>Оперативний персонал / аналітик — карта ризиків, раннє попередження, агент-бібліотекар у межах власних прав;</w:t>
      </w:r>
    </w:p>
    <w:p>
      <w:pPr>
        <w:pStyle w:val="ListBullet"/>
      </w:pPr>
      <w:r>
        <w:t>Доменний фахівець / інженер режимів — поглиблений доступ до сценаріїв, двійника, калібрування, верифікації;</w:t>
      </w:r>
    </w:p>
    <w:p>
      <w:pPr>
        <w:pStyle w:val="ListBullet"/>
      </w:pPr>
      <w:r>
        <w:t>Керівництво / адміністратор безпеки — зведені панелі ризику; керування ролями, грифами, аудитом.</w:t>
      </w:r>
    </w:p>
    <w:p>
      <w:r>
        <w:t>Критичні дії підтверджуються та журналюються; результати агентів супроводжуються поясненням.</w:t>
      </w:r>
    </w:p>
    <w:p/>
    <w:p>
      <w:pPr>
        <w:pStyle w:val="Heading3"/>
      </w:pPr>
      <w:r>
        <w:t>4.6. Функціональні вимоги — екрани MVP</w:t>
      </w:r>
    </w:p>
    <w:p>
      <w:r>
        <w:t>Кожен екран описано як: призначення → вміст → вимоги (FR) → взаємодія з агентом. Обов'язковий склад екранів MVP — нижче.</w:t>
      </w:r>
    </w:p>
    <w:p/>
    <w:p>
      <w:pPr>
        <w:pStyle w:val="Heading3"/>
      </w:pPr>
      <w:r>
        <w:t>4.6.1. Екран «Карта ризиків і загроз»</w:t>
      </w:r>
    </w:p>
    <w:p>
      <w:r>
        <w:t>Призначення. Головний оглядовий екран: де в мережі зосереджено ризик зараз і на горизонті прогнозу.</w:t>
      </w:r>
    </w:p>
    <w:p>
      <w:r>
        <w:t>Вміст:</w:t>
      </w:r>
    </w:p>
    <w:p>
      <w:pPr>
        <w:pStyle w:val="ListBullet"/>
      </w:pPr>
      <w:r>
        <w:t>геопросторова + топологічна схема мережі 750/330 кВ із об'єктами (ВЛ, ПС, трансформатори);</w:t>
      </w:r>
    </w:p>
    <w:p>
      <w:pPr>
        <w:pStyle w:val="ListBullet"/>
      </w:pPr>
      <w:r>
        <w:t>теплова розмітка об'єктів за рівнем ризику (індекс ризику об'єкта);</w:t>
      </w:r>
    </w:p>
    <w:p>
      <w:pPr>
        <w:pStyle w:val="ListBullet"/>
      </w:pPr>
      <w:r>
        <w:t>шар «загрози» (погодні фронти, ремонтні виведення, дефіцитні перетоки) з накладанням на топологію;</w:t>
      </w:r>
    </w:p>
    <w:p>
      <w:pPr>
        <w:pStyle w:val="ListBullet"/>
      </w:pPr>
      <w:r>
        <w:t>перемикач «зараз / прогноз +N годин/діб».</w:t>
      </w:r>
    </w:p>
    <w:p/>
    <w:p>
      <w:r>
        <w:t>Вимоги:</w:t>
      </w:r>
    </w:p>
    <w:p>
      <w:pPr>
        <w:pStyle w:val="ListBullet"/>
      </w:pPr>
      <w:r>
        <w:t>FR-1.1.1. Карта відображає рівень ризику кожного об'єкта числом і кольором, з легендою шкали.</w:t>
      </w:r>
    </w:p>
    <w:p>
      <w:pPr>
        <w:pStyle w:val="ListBullet"/>
      </w:pPr>
      <w:r>
        <w:t>FR-1.1.2. Клік на об'єкт → картка об'єкта (внесок у системний ризик, домінуючі сценарії відмови, історія інцидентів).</w:t>
      </w:r>
    </w:p>
    <w:p>
      <w:pPr>
        <w:pStyle w:val="ListBullet"/>
      </w:pPr>
      <w:r>
        <w:t>FR-1.1.3. Перемикання «зараз / прогноз» без перезавантаження; для прогнозу показується режим достовірності входів.</w:t>
      </w:r>
    </w:p>
    <w:p>
      <w:pPr>
        <w:pStyle w:val="ListBullet"/>
      </w:pPr>
      <w:r>
        <w:t>FR-1.1.4. Геопросторовий і топологічний види синхронізовані (вибір об'єкта в одному підсвічує його в іншому).</w:t>
      </w:r>
    </w:p>
    <w:p>
      <w:pPr>
        <w:pStyle w:val="ListBullet"/>
      </w:pPr>
      <w:r>
        <w:t>FR-1.1.5. Кожен зріз карти підпорядкований RBAC: користувач бачить лише дозволені об'єкти/райони.</w:t>
      </w:r>
    </w:p>
    <w:p/>
    <w:p>
      <w:pPr>
        <w:pStyle w:val="Heading3"/>
      </w:pPr>
      <w:r>
        <w:t>4.6.2. Екран «Цифровий двійник і моделювання сценаріїв»</w:t>
      </w:r>
    </w:p>
    <w:p>
      <w:r>
        <w:t>Призначення. Запуск масового моделювання режимів і перегляд результатів прогонів.</w:t>
      </w:r>
    </w:p>
    <w:p>
      <w:r>
        <w:t>Вміст:</w:t>
      </w:r>
    </w:p>
    <w:p>
      <w:pPr>
        <w:pStyle w:val="ListBullet"/>
      </w:pPr>
      <w:r>
        <w:t>конструктор сценарного простору: діапазони навантаження, конфігурацій комутації, метеоумов, ремонтних схем;</w:t>
      </w:r>
    </w:p>
    <w:p>
      <w:pPr>
        <w:pStyle w:val="ListBullet"/>
      </w:pPr>
      <w:r>
        <w:t>запуск масового прогону (мільйони сценаріїв) і моніторинг прогресу;</w:t>
      </w:r>
    </w:p>
    <w:p>
      <w:pPr>
        <w:pStyle w:val="ListBullet"/>
      </w:pPr>
      <w:r>
        <w:t>зведення результатів: розподіл завантаження елементів, порушення меж, частота небезпечних режимів.</w:t>
      </w:r>
    </w:p>
    <w:p/>
    <w:p>
      <w:r>
        <w:t>Вимоги:</w:t>
      </w:r>
    </w:p>
    <w:p>
      <w:pPr>
        <w:pStyle w:val="ListBullet"/>
      </w:pPr>
      <w:r>
        <w:t>FR-1.2.1. Конструктор дозволяє задати багатовимірний сценарний простір (мінімум: навантаження × конфігурація × погода × ремонти) і оцінити його потужність до запуску.</w:t>
      </w:r>
    </w:p>
    <w:p>
      <w:pPr>
        <w:pStyle w:val="ListBullet"/>
      </w:pPr>
      <w:r>
        <w:t>FR-1.2.2. Двигун виконує масовий прогін з накопиченням результатів у Big Data-сховище; кожен прогін має незмінний ідентифікатор і збережені вхідні параметри (відтворюваність).</w:t>
      </w:r>
    </w:p>
    <w:p>
      <w:pPr>
        <w:pStyle w:val="ListBullet"/>
      </w:pPr>
      <w:r>
        <w:t>FR-1.2.3. Деградований режим: за відсутності окремого входу (метео/перетоки) прогін виконується з явним маркуванням зниженої достовірності, а не блокується.</w:t>
      </w:r>
    </w:p>
    <w:p>
      <w:pPr>
        <w:pStyle w:val="ListBullet"/>
      </w:pPr>
      <w:r>
        <w:t>FR-1.2.4. Результати прогонів доступні агенту-бібліотекарю для запитів.</w:t>
      </w:r>
    </w:p>
    <w:p>
      <w:pPr>
        <w:pStyle w:val="ListBullet"/>
      </w:pPr>
      <w:r>
        <w:t>FR-1.2.5. На рівні ТЗ фіксуються вимоги до результату моделювання (повнота перебору, відтворюваність); конкретні фізичні рівняння режимів — зона деталізації Етапу-2.</w:t>
      </w:r>
    </w:p>
    <w:p/>
    <w:p>
      <w:pPr>
        <w:pStyle w:val="Heading3"/>
      </w:pPr>
      <w:r>
        <w:t>4.6.3. Екран «Аналіз N-1/N-k і вузькі місця»</w:t>
      </w:r>
    </w:p>
    <w:p>
      <w:r>
        <w:t>Призначення. Перевірка надійності за критерієм відмов і виявлення системних вузьких місць.</w:t>
      </w:r>
    </w:p>
    <w:p>
      <w:r>
        <w:t>Вміст:</w:t>
      </w:r>
    </w:p>
    <w:p>
      <w:pPr>
        <w:pStyle w:val="ListBullet"/>
      </w:pPr>
      <w:r>
        <w:t>автоматичний перебір відмов одного (N-1) і комбінацій (N-k) елементів;</w:t>
      </w:r>
    </w:p>
    <w:p>
      <w:pPr>
        <w:pStyle w:val="ListBullet"/>
      </w:pPr>
      <w:r>
        <w:t>перелік порушень (перевантаження, виходи за межі), ранжований за тяжкістю;</w:t>
      </w:r>
    </w:p>
    <w:p>
      <w:pPr>
        <w:pStyle w:val="ListBullet"/>
      </w:pPr>
      <w:r>
        <w:t>виявлення вузьких місць — елементів, відмова яких найчастіше призводить до каскадів.</w:t>
      </w:r>
    </w:p>
    <w:p/>
    <w:p>
      <w:r>
        <w:t>Вимоги:</w:t>
      </w:r>
    </w:p>
    <w:p>
      <w:pPr>
        <w:pStyle w:val="ListBullet"/>
      </w:pPr>
      <w:r>
        <w:t>FR-1.3.1. N-1 виконується для повного переліку елементів обраного контуру; N-k — для параметрично заданої глибини k та фільтрів.</w:t>
      </w:r>
    </w:p>
    <w:p>
      <w:pPr>
        <w:pStyle w:val="ListBullet"/>
      </w:pPr>
      <w:r>
        <w:t>FR-1.3.2. Для кожного критичного контингенсу — перелік наслідків (які елементи перевантажуються, оцінка обсягу відключень).</w:t>
      </w:r>
    </w:p>
    <w:p>
      <w:pPr>
        <w:pStyle w:val="ListBullet"/>
      </w:pPr>
      <w:r>
        <w:t>FR-1.3.3. Виявлення вузьких місць як елементів з найвищою участю в небезпечних результатах прогонів.</w:t>
      </w:r>
    </w:p>
    <w:p>
      <w:pPr>
        <w:pStyle w:val="ListBullet"/>
      </w:pPr>
      <w:r>
        <w:t>FR-1.3.4. Результати N-1/N-k клікабельні → перехід на карту з підсвічуванням задіяних об'єктів.</w:t>
      </w:r>
    </w:p>
    <w:p/>
    <w:p>
      <w:pPr>
        <w:pStyle w:val="Heading3"/>
      </w:pPr>
      <w:r>
        <w:t>4.6.4. Екран «Критичні комбінації умов»</w:t>
      </w:r>
    </w:p>
    <w:p>
      <w:r>
        <w:t>Призначення. Знайти небезпечні поєднання факторів, що поодинці не критичні (час × погода × конфігурація × навантаження).</w:t>
      </w:r>
    </w:p>
    <w:p>
      <w:r>
        <w:t>Вміст:</w:t>
      </w:r>
    </w:p>
    <w:p>
      <w:pPr>
        <w:pStyle w:val="ListBullet"/>
      </w:pPr>
      <w:r>
        <w:t>багатовимірний аналіз сценарного простору з виділенням кластерів небезпечних комбінацій;</w:t>
      </w:r>
    </w:p>
    <w:p>
      <w:pPr>
        <w:pStyle w:val="ListBullet"/>
      </w:pPr>
      <w:r>
        <w:t>«портрет» критичної комбінації (за яких умов мережа входить у небезпечний режим);</w:t>
      </w:r>
    </w:p>
    <w:p>
      <w:pPr>
        <w:pStyle w:val="ListBullet"/>
      </w:pPr>
      <w:r>
        <w:t>частота й умовна ймовірність настання комбінації за відкритими/синтетичними даними.</w:t>
      </w:r>
    </w:p>
    <w:p/>
    <w:p>
      <w:r>
        <w:t>Вимоги:</w:t>
      </w:r>
    </w:p>
    <w:p>
      <w:pPr>
        <w:pStyle w:val="ListBullet"/>
      </w:pPr>
      <w:r>
        <w:t>FR-1.4.1. Система виявляє комбінації умов, що підвищують системний ризик понад поріг, навіть якщо кожен фактор окремо в межах норми.</w:t>
      </w:r>
    </w:p>
    <w:p>
      <w:pPr>
        <w:pStyle w:val="ListBullet"/>
      </w:pPr>
      <w:r>
        <w:t>FR-1.4.2. Для кожної комбінації — пояснення внеску кожного фактора (атрибуція).</w:t>
      </w:r>
    </w:p>
    <w:p>
      <w:pPr>
        <w:pStyle w:val="ListBullet"/>
      </w:pPr>
      <w:r>
        <w:t>FR-1.4.3. Виявлені комбінації передаються в підсистему раннього попередження (4.6.6) як шаблони тригерів.</w:t>
      </w:r>
    </w:p>
    <w:p>
      <w:pPr>
        <w:pStyle w:val="ListBullet"/>
      </w:pPr>
      <w:r>
        <w:t>FR-1.4.4. Агент-пояснювач формує текстову атрибуцію українською («небезпечний режим виникає за поєднання нічного мінімуму навантаження + ремонту ВЛ-750 X + ожеледі»).</w:t>
      </w:r>
    </w:p>
    <w:p/>
    <w:p>
      <w:pPr>
        <w:pStyle w:val="Heading3"/>
      </w:pPr>
      <w:r>
        <w:t>4.6.5. Екран «Оцінка впливу ризиків і Pareto-вивід "що зміцнювати"»</w:t>
      </w:r>
    </w:p>
    <w:p>
      <w:r>
        <w:t>Призначення. Перетворити масу прогонів на впорядкований перелік першочергових заходів зміцнення.</w:t>
      </w:r>
    </w:p>
    <w:p>
      <w:r>
        <w:t>Вміст:</w:t>
      </w:r>
    </w:p>
    <w:p>
      <w:pPr>
        <w:pStyle w:val="ListBullet"/>
      </w:pPr>
      <w:r>
        <w:t>ранжування об'єктів за внеском у системний ризик (PRA-агрегація);</w:t>
      </w:r>
    </w:p>
    <w:p>
      <w:pPr>
        <w:pStyle w:val="ListBullet"/>
      </w:pPr>
      <w:r>
        <w:t>Pareto-діаграма: мінімальна підмножина об'єктів, що дає максимальне зниження ризику;</w:t>
      </w:r>
    </w:p>
    <w:p>
      <w:pPr>
        <w:pStyle w:val="ListBullet"/>
      </w:pPr>
      <w:r>
        <w:t>оцінка «що буде, якщо зміцнити об'єкт X» (умовний перерахунок ризику).</w:t>
      </w:r>
    </w:p>
    <w:p/>
    <w:p>
      <w:r>
        <w:t>Вимоги:</w:t>
      </w:r>
    </w:p>
    <w:p>
      <w:pPr>
        <w:pStyle w:val="ListBullet"/>
      </w:pPr>
      <w:r>
        <w:t>FR-1.5.1. Внесок кожного об'єкта в системний ризик обчислюється з розподілу результатів прогонів (а не з точкової оцінки).</w:t>
      </w:r>
    </w:p>
    <w:p>
      <w:pPr>
        <w:pStyle w:val="ListBullet"/>
      </w:pPr>
      <w:r>
        <w:t>FR-1.5.2. Pareto-вивід формує впорядкований перелік «що зміцнювати першочергово» з обґрунтуванням кожної позиції.</w:t>
      </w:r>
    </w:p>
    <w:p>
      <w:pPr>
        <w:pStyle w:val="ListBullet"/>
      </w:pPr>
      <w:r>
        <w:t>FR-1.5.3. Сценарій «зміцнити X» виконує умовний перерахунок і показує очікуване зниження ризику (інтерактивно, одиниці секунд для базового контуру).</w:t>
      </w:r>
    </w:p>
    <w:p>
      <w:pPr>
        <w:pStyle w:val="ListBullet"/>
      </w:pPr>
      <w:r>
        <w:t>FR-1.5.4. Pareto-рейтинг експортований із дотриманням обмежень експорту (двосторонність, §4.4) і журналюванням.</w:t>
      </w:r>
    </w:p>
    <w:p/>
    <w:p>
      <w:pPr>
        <w:pStyle w:val="Heading3"/>
      </w:pPr>
      <w:r>
        <w:t>4.6.6. Екран «Раннє попередження»</w:t>
      </w:r>
    </w:p>
    <w:p>
      <w:r>
        <w:t>Призначення. Завчасно сигналізувати про наближення небезпечного сценарію.</w:t>
      </w:r>
    </w:p>
    <w:p>
      <w:r>
        <w:t>Вміст:</w:t>
      </w:r>
    </w:p>
    <w:p>
      <w:pPr>
        <w:pStyle w:val="ListBullet"/>
      </w:pPr>
      <w:r>
        <w:t>активні попередження з рівнем критичності та горизонтом настання;</w:t>
      </w:r>
    </w:p>
    <w:p>
      <w:pPr>
        <w:pStyle w:val="ListBullet"/>
      </w:pPr>
      <w:r>
        <w:t>тригери на основі критичних комбінацій (4.6.4) і прогнозу режиму/погоди;</w:t>
      </w:r>
    </w:p>
    <w:p>
      <w:pPr>
        <w:pStyle w:val="ListBullet"/>
      </w:pPr>
      <w:r>
        <w:t>рекомендовані дії та посилання на відповідний об'єкт карти.</w:t>
      </w:r>
    </w:p>
    <w:p/>
    <w:p>
      <w:r>
        <w:t>Вимоги:</w:t>
      </w:r>
    </w:p>
    <w:p>
      <w:pPr>
        <w:pStyle w:val="ListBullet"/>
      </w:pPr>
      <w:r>
        <w:t>FR-1.6.1. Попередження містить: подію, ймовірність/довіру, горизонт, задіяні об'єкти, рекомендацію.</w:t>
      </w:r>
    </w:p>
    <w:p>
      <w:pPr>
        <w:pStyle w:val="ListBullet"/>
      </w:pPr>
      <w:r>
        <w:t>FR-1.6.2. Поріг спрацювання тригерів конфігурований; зміни порогів журналюються.</w:t>
      </w:r>
    </w:p>
    <w:p>
      <w:pPr>
        <w:pStyle w:val="ListBullet"/>
      </w:pPr>
      <w:r>
        <w:t>FR-1.6.3. Деградація входів (відсутнє метео/перетоки) знижує довіру попередження й позначається явно, без «впевнених» сигналів на неповних даних.</w:t>
      </w:r>
    </w:p>
    <w:p>
      <w:pPr>
        <w:pStyle w:val="ListBullet"/>
      </w:pPr>
      <w:r>
        <w:t>FR-1.6.4. Журнал попереджень доступний агенту-бібліотекарю («покажи всі попередження рівня "високий" за корональним фактором за останній місяць»).</w:t>
      </w:r>
    </w:p>
    <w:p/>
    <w:p>
      <w:pPr>
        <w:pStyle w:val="Heading3"/>
      </w:pPr>
      <w:r>
        <w:t>4.6.7. Екран «Історичні інциденти»</w:t>
      </w:r>
    </w:p>
    <w:p>
      <w:r>
        <w:t>Призначення. Аналіз минулих подій і їх зіставлення з модельними сценаріями.</w:t>
      </w:r>
    </w:p>
    <w:p>
      <w:r>
        <w:t>Вміст:</w:t>
      </w:r>
    </w:p>
    <w:p>
      <w:pPr>
        <w:pStyle w:val="ListBullet"/>
      </w:pPr>
      <w:r>
        <w:t>реєстр інцидентів (тип, об'єкти, наслідки, умови на момент події);</w:t>
      </w:r>
    </w:p>
    <w:p>
      <w:pPr>
        <w:pStyle w:val="ListBullet"/>
      </w:pPr>
      <w:r>
        <w:t>зіставлення інциденту з найближчим модельним сценарієм (чи передбачив би його двійник);</w:t>
      </w:r>
    </w:p>
    <w:p>
      <w:pPr>
        <w:pStyle w:val="ListBullet"/>
      </w:pPr>
      <w:r>
        <w:t>статистика повторюваності та сезонності інцидентів.</w:t>
      </w:r>
    </w:p>
    <w:p/>
    <w:p>
      <w:r>
        <w:t>Вимоги:</w:t>
      </w:r>
    </w:p>
    <w:p>
      <w:pPr>
        <w:pStyle w:val="ListBullet"/>
      </w:pPr>
      <w:r>
        <w:t>FR-1.7.1. Кожен інцидент пов'язується з об'єктами карти й з умовами (data_origin фіксується).</w:t>
      </w:r>
    </w:p>
    <w:p>
      <w:pPr>
        <w:pStyle w:val="ListBullet"/>
      </w:pPr>
      <w:r>
        <w:t>FR-1.7.2. Реалізовано «ретроспективний тест»: чи виявила б модель цей інцидент як небезпечний сценарій.</w:t>
      </w:r>
    </w:p>
    <w:p>
      <w:pPr>
        <w:pStyle w:val="ListBullet"/>
      </w:pPr>
      <w:r>
        <w:t>FR-1.7.3. Реєстр доступний агенту-бібліотекарю для аналітичних запитів.</w:t>
      </w:r>
    </w:p>
    <w:p/>
    <w:p>
      <w:pPr>
        <w:pStyle w:val="Heading3"/>
      </w:pPr>
      <w:r>
        <w:t>4.6.8. Екран «Аналітична панель керівництва»</w:t>
      </w:r>
    </w:p>
    <w:p>
      <w:r>
        <w:t>Призначення. Зведений верхньорівневий стан ризику для прийняття управлінських рішень.</w:t>
      </w:r>
    </w:p>
    <w:p>
      <w:r>
        <w:t>Вміст:</w:t>
      </w:r>
    </w:p>
    <w:p>
      <w:pPr>
        <w:pStyle w:val="ListBullet"/>
      </w:pPr>
      <w:r>
        <w:t>інтегральний індекс ризику ОЕС і його динаміка;</w:t>
      </w:r>
    </w:p>
    <w:p>
      <w:pPr>
        <w:pStyle w:val="ListBullet"/>
      </w:pPr>
      <w:r>
        <w:t>ТОП-N об'єктів за ризиком і ТОП-N заходів зміцнення (з 4.6.5);</w:t>
      </w:r>
    </w:p>
    <w:p>
      <w:pPr>
        <w:pStyle w:val="ListBullet"/>
      </w:pPr>
      <w:r>
        <w:t>ключові активні попередження; зведення без технічних деталей.</w:t>
      </w:r>
    </w:p>
    <w:p/>
    <w:p>
      <w:r>
        <w:t>Вимоги:</w:t>
      </w:r>
    </w:p>
    <w:p>
      <w:pPr>
        <w:pStyle w:val="ListBullet"/>
      </w:pPr>
      <w:r>
        <w:t>FR-1.8.1. Панель показує інтегральний індекс ризику з трендом і поясненням зміни.</w:t>
      </w:r>
    </w:p>
    <w:p>
      <w:pPr>
        <w:pStyle w:val="ListBullet"/>
      </w:pPr>
      <w:r>
        <w:t>FR-1.8.2. Зведення керівництва підпорядковане RBAC (агрегований зріз без чутливих деталей за потреби).</w:t>
      </w:r>
    </w:p>
    <w:p>
      <w:pPr>
        <w:pStyle w:val="ListBullet"/>
      </w:pPr>
      <w:r>
        <w:t>FR-1.8.3. Один клік від зведення до деталізації (карта / N-k / Pareto) у межах прав.</w:t>
      </w:r>
    </w:p>
    <w:p/>
    <w:p>
      <w:pPr>
        <w:pStyle w:val="Heading3"/>
      </w:pPr>
      <w:r>
        <w:t>4.6.9. Екран «Агент-бібліотекар» (наскрізний)</w:t>
      </w:r>
    </w:p>
    <w:p>
      <w:r>
        <w:t>Призначення. Доступ людини-аналітика до всіх даних А1 природною мовою.</w:t>
      </w:r>
    </w:p>
    <w:p>
      <w:r>
        <w:t>Вимоги:</w:t>
      </w:r>
    </w:p>
    <w:p>
      <w:pPr>
        <w:pStyle w:val="ListBullet"/>
      </w:pPr>
      <w:r>
        <w:t>FR-1.9.1. Запит природною українською → агент перетворює його на SQL/запит до сховища й повертає таблицю або графік.</w:t>
      </w:r>
    </w:p>
    <w:p>
      <w:pPr>
        <w:pStyle w:val="ListBullet"/>
      </w:pPr>
      <w:r>
        <w:t>FR-1.9.2. Кожен запит проходить через RBAC (RLS/CLS): користувач бачить лише дозволені об'єкти, райони, періоди, сценарії.</w:t>
      </w:r>
    </w:p>
    <w:p>
      <w:pPr>
        <w:pStyle w:val="ListBullet"/>
      </w:pPr>
      <w:r>
        <w:t>FR-1.9.3. Усі запити та експорти логуються в незмінний аудит (двосторонність/щит).</w:t>
      </w:r>
    </w:p>
    <w:p>
      <w:pPr>
        <w:pStyle w:val="ListBullet"/>
      </w:pPr>
      <w:r>
        <w:t>FR-1.9.4. Агент пояснює результат і показує згенерований SQL для перевірюваності.</w:t>
      </w:r>
    </w:p>
    <w:p/>
    <w:p>
      <w:pPr>
        <w:pStyle w:val="Heading3"/>
      </w:pPr>
      <w:r>
        <w:t>4.7. Інтеграція (опціональна)</w:t>
      </w:r>
    </w:p>
    <w:p>
      <w:pPr>
        <w:pStyle w:val="ListBullet"/>
      </w:pPr>
      <w:r>
        <w:t>FR-1.10.1. Усі зовнішні підключення реалізуються як версіоновані адаптери; їх відсутність не зупиняє Систему.</w:t>
      </w:r>
    </w:p>
    <w:p>
      <w:pPr>
        <w:pStyle w:val="ListBullet"/>
      </w:pPr>
      <w:r>
        <w:t>FR-1.10.2. Опціональна інтеграція з суміжними рішеннями (А2/А3) — виключно через окремий інтеграційний шар (шину подій), описаний окремим рамковим ТЗ; у складі А1 не реалізується й не є умовою приймання.</w:t>
      </w:r>
    </w:p>
    <w:p>
      <w:pPr>
        <w:pStyle w:val="ListBullet"/>
      </w:pPr>
      <w:r>
        <w:t>FR-1.10.3. Зовнішні дані Етапу-1: ENTSO-E Transparency Platform та відкрите метео — як адаптери з маркуванням data_origin і деградацією за втрати джерела.</w:t>
      </w:r>
    </w:p>
    <w:p/>
    <w:p/>
    <w:p>
      <w:pPr>
        <w:pStyle w:val="Heading3"/>
      </w:pPr>
      <w:r>
        <w:t>4.8. Надбудова: автономний агентний контур 24/7 (БОНУС понад обовʼязкові вимоги)</w:t>
      </w:r>
    </w:p>
    <w:p/>
    <w:p>
      <w:pPr>
        <w:ind w:left="454"/>
      </w:pPr>
      <w:r>
        <w:rPr>
          <w:i/>
        </w:rPr>
        <w:t>Статус. Цей розділ описує додаткову спроможність-надбудову понад обовʼязкові вимоги Замовника (розділ 4.6). Усі функції розділів 1–4.7 є базою приймання й виконуються незалежно від цієї надбудови. Агентний контур 24/7 — це бонус-перевага запропонованого рішення: він не замінює жодну обовʼязкову функцію, а підсилює її, перетворюючи статичний аналітичний інструмент на самонавчальний контур пошуку вразливостей.</w:t>
      </w:r>
    </w:p>
    <w:p/>
    <w:p>
      <w:r>
        <w:t>4.8.1. Призначення надбудови. Замість того щоб аналітик вручну перебирав простір станів, агенти працюють безперервно (24/7) і приносять людині вже відібране найперспективніше — не сирі дані, а короткий перелік гіпотез, готових до поглибленої доменної перевірки.</w:t>
      </w:r>
    </w:p>
    <w:p/>
    <w:p>
      <w:r>
        <w:t>4.8.2. Цикл контуру (наскрізний патерн надбудови):</w:t>
      </w:r>
    </w:p>
    <w:p>
      <w:pPr>
        <w:pStyle w:val="ListNumber"/>
      </w:pPr>
      <w:r>
        <w:t>Масова генерація — агенти автономно проганяють мільйони рандомізованих сценаріїв (комбінації навантаження × погода × конфігурація комутації × ремонтні схеми мережі 750/330 кВ) цілодобово.</w:t>
      </w:r>
    </w:p>
    <w:p>
      <w:pPr>
        <w:pStyle w:val="ListNumber"/>
      </w:pPr>
      <w:r>
        <w:t>Накопичення Big Data — результати прогонів осідають у власному сховищі продукту (своя Big Data, не залежить від інших рішень).</w:t>
      </w:r>
    </w:p>
    <w:p>
      <w:pPr>
        <w:pStyle w:val="ListNumber"/>
      </w:pPr>
      <w:r>
        <w:t>Агентний аналіз — агенти шукають у масиві інсайти, аномалії та критичні комбінації умов, що поодинці безпечні, а разом ведуть у небезпечний режим.</w:t>
      </w:r>
    </w:p>
    <w:p>
      <w:pPr>
        <w:pStyle w:val="ListNumber"/>
      </w:pPr>
      <w:r>
        <w:t>Фільтр перспективності — агенти відсівають шум і ранжують знахідки, лишаючи лише найперспективніші/найкритичніші сценарії та гіпотези.</w:t>
      </w:r>
    </w:p>
    <w:p>
      <w:pPr>
        <w:pStyle w:val="ListNumber"/>
      </w:pPr>
      <w:r>
        <w:t>Передача людині вже відібраного — аналітик отримує 5 гіпотез замість 5 мільйонів: короткий, обґрунтований, пояснений перелік (а не сирий масив).</w:t>
      </w:r>
    </w:p>
    <w:p>
      <w:pPr>
        <w:pStyle w:val="ListNumber"/>
      </w:pPr>
      <w:r>
        <w:t>Поглиблена перевірка доменним експертом — інженер режимів / доменний фахівець з надійності мережі швидко верифікує/спростовує відібрані гіпотези (а не тоне в даних).</w:t>
      </w:r>
    </w:p>
    <w:p>
      <w:pPr>
        <w:pStyle w:val="ListNumber"/>
      </w:pPr>
      <w:r>
        <w:t>Зворотний звʼязок у цикл — підтверджені/спростовані гіпотези підтягують клон до фізики та уточнюють фільтр; контур повертається до кроку 1.</w:t>
      </w:r>
    </w:p>
    <w:p/>
    <w:p>
      <w:r>
        <w:t>4.8.3. Цінність для Замовника. Експерт не тоне в даних: машина 24/7 відсіює мусор і приносить керовану кількість перевірюваних гіпотез. Це двоїста віддача з одного процесу: (а) сам інструмент стає достовірнішим (підтяжка клона), (б) людина отримує прикладні інсайти під свою задачу.</w:t>
      </w:r>
    </w:p>
    <w:p/>
    <w:p>
      <w:r>
        <w:t>4.8.4. Вимоги до надбудови:</w:t>
      </w:r>
    </w:p>
    <w:p>
      <w:pPr>
        <w:pStyle w:val="ListBullet"/>
      </w:pPr>
      <w:r>
        <w:t>FR-AG.1. Контур працює автономно й безперервно; зупинка надбудови не впливає на обовʼязкові функції розділу 4.6.</w:t>
      </w:r>
    </w:p>
    <w:p>
      <w:pPr>
        <w:pStyle w:val="ListBullet"/>
      </w:pPr>
      <w:r>
        <w:t>FR-AG.2. Фільтр перспективності параметризований; критерії відбору налаштовуються й журналюються.</w:t>
      </w:r>
    </w:p>
    <w:p>
      <w:pPr>
        <w:pStyle w:val="ListBullet"/>
      </w:pPr>
      <w:r>
        <w:t>FR-AG.3. Кожна передана людині гіпотеза супроводжується поясненням українською та трасуванням до вихідних прогонів (відтворюваність).</w:t>
      </w:r>
    </w:p>
    <w:p>
      <w:pPr>
        <w:pStyle w:val="ListBullet"/>
      </w:pPr>
      <w:r>
        <w:t>FR-AG.4. Усі дії агентів і відбір підпорядковані RBAC та незмінному аудиту.</w:t>
      </w:r>
    </w:p>
    <w:p>
      <w:pPr>
        <w:pStyle w:val="ListBullet"/>
      </w:pPr>
      <w:r>
        <w:t>FR-AG.5. Надбудова не є умовою приймання MVP (розділ 6); вона приймається окремо як додаткова спроможність.</w:t>
      </w:r>
    </w:p>
    <w:p/>
    <w:p>
      <w:pPr>
        <w:pStyle w:val="Heading2"/>
      </w:pPr>
      <w:r>
        <w:t>5. СКЛАД І ЗМІСТ РОБІТ ЗІ СТВОРЕННЯ СИСТЕМИ</w:t>
      </w:r>
    </w:p>
    <w:p/>
    <w:p>
      <w:pPr>
        <w:pStyle w:val="Heading3"/>
      </w:pPr>
      <w:r>
        <w:t>Етап-1. MVP на синтетиці та відкритих даних (ДСК, без держтаємниці)</w:t>
      </w:r>
    </w:p>
    <w:p>
      <w:pPr>
        <w:pStyle w:val="ListBullet"/>
      </w:pPr>
      <w:r>
        <w:t>розроблення архітектури А1, внутрішнього агентного шару, ядра RBAC (RLS/CLS) з окремим контуром допуску до А1;</w:t>
      </w:r>
    </w:p>
    <w:p>
      <w:pPr>
        <w:pStyle w:val="ListBullet"/>
      </w:pPr>
      <w:r>
        <w:t>побудова спрощеного/агрегованого двійника мережі 750/330 кВ на синтетичній топології;</w:t>
      </w:r>
    </w:p>
    <w:p>
      <w:pPr>
        <w:pStyle w:val="ListBullet"/>
      </w:pPr>
      <w:r>
        <w:t>двигун масового моделювання сценаріїв і Big Data-сховище прогонів;</w:t>
      </w:r>
    </w:p>
    <w:p>
      <w:pPr>
        <w:pStyle w:val="ListBullet"/>
      </w:pPr>
      <w:r>
        <w:t>реалізація екранів 4.6.1–4.6.9 на SYNTHETIC + OPEN_DATA (ENTSO-E, відкрите метео);</w:t>
      </w:r>
    </w:p>
    <w:p>
      <w:pPr>
        <w:pStyle w:val="ListBullet"/>
      </w:pPr>
      <w:r>
        <w:t>baseline-метрики (повнота N-1/N-k, стабільність Pareto, час перебору), демонстрація патерну «сценарії → дві віддачі агентів → агент-бібліотекар»;</w:t>
      </w:r>
    </w:p>
    <w:p>
      <w:pPr>
        <w:pStyle w:val="ListBullet"/>
      </w:pPr>
      <w:r>
        <w:t>результат: працездатний MVP у несекретному середовищі, baseline-показники, уточнене ТЗ на Етап-2.</w:t>
      </w:r>
    </w:p>
    <w:p/>
    <w:p>
      <w:pPr>
        <w:pStyle w:val="Heading3"/>
      </w:pPr>
      <w:r>
        <w:t>Етап-2. Повна система на реальних даних (NDA, «цілком таємно», КСЗІ)</w:t>
      </w:r>
    </w:p>
    <w:p>
      <w:pPr>
        <w:pStyle w:val="ListBullet"/>
      </w:pPr>
      <w:r>
        <w:t>доменна деталізація фізики двійника (рівняння режимів, AC-розрахунки, калібрування до реальної телеметрії) — разом із доменними фахівцями НЕК, в окремому доменному додатку під відповідним грифом;</w:t>
      </w:r>
    </w:p>
    <w:p>
      <w:pPr>
        <w:pStyle w:val="ListBullet"/>
      </w:pPr>
      <w:r>
        <w:t>підключення реальних даних ОЕС (SCADA/АСКОЕ, реальна топологія) як NDA_CALIBRATED на захищеному контурі;</w:t>
      </w:r>
    </w:p>
    <w:p>
      <w:pPr>
        <w:pStyle w:val="ListBullet"/>
      </w:pPr>
      <w:r>
        <w:t>побудова та атестація КСЗІ за НД ТЗІ; впровадження грифу «цілком таємно»;</w:t>
      </w:r>
    </w:p>
    <w:p>
      <w:pPr>
        <w:pStyle w:val="ListBullet"/>
      </w:pPr>
      <w:r>
        <w:t>промислове впровадження, навчання користувачів трьох рівнів;</w:t>
      </w:r>
    </w:p>
    <w:p>
      <w:pPr>
        <w:pStyle w:val="ListBullet"/>
      </w:pPr>
      <w:r>
        <w:t>результат: атестована промислова Система на реальних даних.</w:t>
      </w:r>
    </w:p>
    <w:p/>
    <w:p>
      <w:r>
        <w:t>*Інваріант:* фізичні формули Етапу-2 не «вигадуються» у цьому ТЗ — фіксуються лише ЩО система робить і вимоги до результату; рівняння й калібрування — зона доменної деталізації Етапу-2.</w:t>
      </w:r>
    </w:p>
    <w:p/>
    <w:p>
      <w:r>
        <w:t>Терміни кожного етапу визначаються календарним планом договору.</w:t>
      </w:r>
    </w:p>
    <w:p/>
    <w:p/>
    <w:p>
      <w:pPr>
        <w:pStyle w:val="Heading2"/>
      </w:pPr>
      <w:r>
        <w:t>6. ПОРЯДОК КОНТРОЛЮ ТА ПРИЙМАННЯ СИСТЕМИ</w:t>
      </w:r>
    </w:p>
    <w:p/>
    <w:p>
      <w:pPr>
        <w:pStyle w:val="ListBullet"/>
      </w:pPr>
      <w:r>
        <w:t>Види випробувань: попередні, дослідна експлуатація, приймальні — окремо для Етапу-1 і Етапу-2.</w:t>
      </w:r>
    </w:p>
    <w:p>
      <w:pPr>
        <w:pStyle w:val="ListBullet"/>
      </w:pPr>
      <w:r>
        <w:t>Етап-1 приймається на SYNTHETIC + OPEN_DATA за baseline-метриками (розділ 2.4) у несекретному середовищі. Обов'язкові умови приймання MVP:</w:t>
      </w:r>
    </w:p>
    <w:p>
      <w:r>
        <w:t xml:space="preserve">  - екрани 4.6.1–4.6.9 працюють без жодного входу під грифом;</w:t>
      </w:r>
    </w:p>
    <w:p>
      <w:r>
        <w:t xml:space="preserve">  - двійник виконує масовий прогін сценаріїв з відтворюваністю кожного прогону;</w:t>
      </w:r>
    </w:p>
    <w:p>
      <w:r>
        <w:t xml:space="preserve">  - N-1 виконується для повного контуру, N-k — на задану глибину; виявляються вузькі місця;</w:t>
      </w:r>
    </w:p>
    <w:p>
      <w:r>
        <w:t xml:space="preserve">  - формується карта ризиків і Pareto-вивід «що зміцнювати»;</w:t>
      </w:r>
    </w:p>
    <w:p>
      <w:r>
        <w:t xml:space="preserve">  - підсистема раннього попередження спрацьовує за критичними комбінаціями умов;</w:t>
      </w:r>
    </w:p>
    <w:p>
      <w:r>
        <w:t xml:space="preserve">  - кожен запит агента-бібліотекаря підпорядкований RBAC (RLS/CLS), усе логується;</w:t>
      </w:r>
    </w:p>
    <w:p>
      <w:r>
        <w:t xml:space="preserve">  - відсутність шини/суміжних рішень не впливає на жодну функцію (перевірка самодостатності).</w:t>
      </w:r>
    </w:p>
    <w:p>
      <w:pPr>
        <w:pStyle w:val="ListBullet"/>
      </w:pPr>
      <w:r>
        <w:t>Етап-2 приймається на реальних даних у складі атестованого КСЗІ-контуру; обов'язкова умова — позитивний висновок атестації КСЗІ та підтвердження відповідності НД ТЗІ.</w:t>
      </w:r>
    </w:p>
    <w:p>
      <w:pPr>
        <w:pStyle w:val="ListBullet"/>
      </w:pPr>
      <w:r>
        <w:t>Випробування — за погодженими Замовником програмою та методиками; приймає приймальна комісія Замовника з оформленням акта.</w:t>
      </w:r>
    </w:p>
    <w:p/>
    <w:p/>
    <w:p>
      <w:pPr>
        <w:pStyle w:val="Heading2"/>
      </w:pPr>
      <w:r>
        <w:t>7. ВИМОГИ ДО ПІДГОТОВКИ ОБ'ЄКТА АВТОМАТИЗАЦІЇ</w:t>
      </w:r>
    </w:p>
    <w:p/>
    <w:p>
      <w:pPr>
        <w:pStyle w:val="ListBullet"/>
      </w:pPr>
      <w:r>
        <w:t>Надання даних: Етап-1 — погодження джерел синтетики та доступу до ENTSO-E/метео; Етап-2 — реальні дані ОЕС (топологія, телеметрія) під NDA.</w:t>
      </w:r>
    </w:p>
    <w:p>
      <w:pPr>
        <w:pStyle w:val="ListBullet"/>
      </w:pPr>
      <w:r>
        <w:t>Обчислювальне середовище: Етап-1 — несекретний контур під масові прогони; Етап-2 — захищений/ізольований контур під КСЗІ.</w:t>
      </w:r>
    </w:p>
    <w:p>
      <w:pPr>
        <w:pStyle w:val="ListBullet"/>
      </w:pPr>
      <w:r>
        <w:t>Організаційні заходи: призначення відповідальних, оформлення допусків до державної таємниці для персоналу Етапу-2, затвердження рольової моделі RBAC саме для А1 (окремий контур допуску).</w:t>
      </w:r>
    </w:p>
    <w:p>
      <w:pPr>
        <w:pStyle w:val="ListBullet"/>
      </w:pPr>
      <w:r>
        <w:t>Підготовка персоналу трьох рівнів до експлуатації.</w:t>
      </w:r>
    </w:p>
    <w:p/>
    <w:p/>
    <w:p>
      <w:pPr>
        <w:pStyle w:val="Heading2"/>
      </w:pPr>
      <w:r>
        <w:t>8. ВИМОГИ ДО ДОКУМЕНТУВАННЯ</w:t>
      </w:r>
    </w:p>
    <w:p/>
    <w:p>
      <w:r>
        <w:t>Документація — українською мовою, відповідно до ГОСТ 34 (комплект РД на АС):</w:t>
      </w:r>
    </w:p>
    <w:p>
      <w:pPr>
        <w:pStyle w:val="ListBullet"/>
      </w:pPr>
      <w:r>
        <w:t>це ТЗ та приватні доменні додатки (зокрема фізика Етапу-2 під грифом);</w:t>
      </w:r>
    </w:p>
    <w:p>
      <w:pPr>
        <w:pStyle w:val="ListBullet"/>
      </w:pPr>
      <w:r>
        <w:t>ескізний/технічний проект, пояснювальна записка, опис архітектури та внутрішнього агентного шару А1;</w:t>
      </w:r>
    </w:p>
    <w:p>
      <w:pPr>
        <w:pStyle w:val="ListBullet"/>
      </w:pPr>
      <w:r>
        <w:t>опис моделі даних і рольової моделі RBAC (RLS/CLS), розмітки data_origin;</w:t>
      </w:r>
    </w:p>
    <w:p>
      <w:pPr>
        <w:pStyle w:val="ListBullet"/>
      </w:pPr>
      <w:r>
        <w:t>програма та методики випробувань, протоколи й акти;</w:t>
      </w:r>
    </w:p>
    <w:p>
      <w:pPr>
        <w:pStyle w:val="ListBullet"/>
      </w:pPr>
      <w:r>
        <w:t>керівництва користувача (три рівні) та керівництво адміністратора;</w:t>
      </w:r>
    </w:p>
    <w:p>
      <w:pPr>
        <w:pStyle w:val="ListBullet"/>
      </w:pPr>
      <w:r>
        <w:t>документація з безпеки: проект КСЗІ, матеріали атестації, відповідність НД ТЗІ (Етап-2);</w:t>
      </w:r>
    </w:p>
    <w:p>
      <w:pPr>
        <w:pStyle w:val="ListBullet"/>
      </w:pPr>
      <w:r>
        <w:t>комплект передачі продукту (вихідні коди, інструкції розгортання й калібрування) — для повної передачі без залежності від розробника.</w:t>
      </w:r>
    </w:p>
    <w:p>
      <w:r>
        <w:t>Документи з грифом «цілком таємно» (Етап-2) оформлюються та зберігаються згідно з режимними вимогами.</w:t>
      </w:r>
    </w:p>
    <w:p/>
    <w:p/>
    <w:p>
      <w:pPr>
        <w:pStyle w:val="Heading2"/>
      </w:pPr>
      <w:r>
        <w:t>9. ДЖЕРЕЛА РОЗРОБКИ</w:t>
      </w:r>
    </w:p>
    <w:p/>
    <w:p>
      <w:pPr>
        <w:pStyle w:val="ListBullet"/>
      </w:pPr>
      <w:r>
        <w:t>ДСТУ ГОСТ 34.602 та комплекс стандартів ГОСТ 34 на АС;</w:t>
      </w:r>
    </w:p>
    <w:p>
      <w:pPr>
        <w:pStyle w:val="ListBullet"/>
      </w:pPr>
      <w:r>
        <w:t>Закон України «Про критичну інфраструктуру»; Закон України «Про державну таємницю»; ЗВДТ;</w:t>
      </w:r>
    </w:p>
    <w:p>
      <w:pPr>
        <w:pStyle w:val="ListBullet"/>
      </w:pPr>
      <w:r>
        <w:t>нормативні документи системи технічного захисту інформації (НД ТЗІ) України; вимоги до КСЗІ;</w:t>
      </w:r>
    </w:p>
    <w:p>
      <w:pPr>
        <w:pStyle w:val="ListBullet"/>
      </w:pPr>
      <w:r>
        <w:t>Кодекс системи передачі; вимоги ENTSO-E (Continental Europe System Operation Guideline; Transparency Platform як джерело відкритих даних Етапу-1);</w:t>
      </w:r>
    </w:p>
    <w:p>
      <w:pPr>
        <w:pStyle w:val="ListBullet"/>
      </w:pPr>
      <w:r>
        <w:t>РІШЕННЯ 1 Програми співпраці з НЕК «Укренерго» (управління ризиками безпеки та прогнозування загроз);</w:t>
      </w:r>
    </w:p>
    <w:p>
      <w:pPr>
        <w:pStyle w:val="ListBullet"/>
      </w:pPr>
      <w:r>
        <w:t>внутрішні регламенти, режимні та технічні дані НЕК «Укренерго» (Етап-2, NDA);</w:t>
      </w:r>
    </w:p>
    <w:p>
      <w:pPr>
        <w:pStyle w:val="ListBullet"/>
      </w:pPr>
      <w:r>
        <w:t>приватний доменний додаток із фізикою режимів та калібруванням двійника (Етап-2, під грифом).</w:t>
      </w:r>
    </w:p>
    <w:p/>
    <w:p>
      <w:r>
        <w:br w:type="page"/>
      </w:r>
    </w:p>
    <w:p>
      <w:pPr>
        <w:jc w:val="left"/>
      </w:pPr>
      <w:r>
        <w:rPr>
          <w:b/>
        </w:rPr>
        <w:t>Відомості про виконавців:</w:t>
      </w:r>
    </w:p>
    <w:p>
      <w:r>
        <w:rPr>
          <w:sz w:val="18"/>
        </w:rPr>
        <w:t>____________________  (Прізвище І. П.)</w:t>
        <w:br/>
        <w:t>тел. (___) ___-__-__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