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«Нагляд за маніпуляціями на ринках електроенергії РСВ/ВСР»</w:t>
      </w:r>
    </w:p>
    <w:p>
      <w:pPr>
        <w:jc w:val="center"/>
      </w:pPr>
      <w:r>
        <w:rPr>
          <w:b w:val="0"/>
          <w:sz w:val="24"/>
        </w:rPr>
        <w:t>(АС А2)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ТЕХНІЧНЕ ЗАВДАННЯ</w:t>
        <w:br/>
        <w:t>на створення системи (самостійний продукт)</w:t>
      </w:r>
    </w:p>
    <w:p/>
    <w:p/>
    <w:p>
      <w:pPr>
        <w:jc w:val="center"/>
      </w:pPr>
      <w:r>
        <w:rPr>
          <w:sz w:val="22"/>
        </w:rPr>
        <w:t>Позначення документа: UE-A2.ТЗ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ТЕХНІЧНЕ ЗАВДАННЯ</w:t>
      </w:r>
    </w:p>
    <w:p>
      <w:pPr>
        <w:pStyle w:val="Heading2"/>
      </w:pPr>
      <w:r>
        <w:t>на створення системи «Система нагляду за маніпуляціями на ринках РСВ/ВСР» (СНМ РСВ/ВСР)</w:t>
      </w:r>
    </w:p>
    <w:p/>
    <w:p>
      <w:r>
        <w:t>Гриф обмеження доступу: для Етапу-2 (повна система на реальних ринкових даних) — «цілком таємно» / NDA згідно з ЗУ «Про державну таємницю» та ЗВДТ і вимогами щодо комерційно чутливої ринкової інформації; для Етапу-1 (MVP — синтетика + відкриті дані ENTSO-E) — «для службового користування» (ДСК), без відомостей, що становлять державну таємницю.</w:t>
      </w:r>
    </w:p>
    <w:p/>
    <w:p>
      <w:r>
        <w:t>Позначення документа: UE-A2-SNM.ТЗ</w:t>
      </w:r>
    </w:p>
    <w:p>
      <w:r>
        <w:t>Редакція: 1.0</w:t>
      </w:r>
    </w:p>
    <w:p>
      <w:r>
        <w:t>Розроблено відповідно до ДСТУ ГОСТ 34.602.</w:t>
      </w:r>
    </w:p>
    <w:p>
      <w:r>
        <w:t>Київ, 2026</w:t>
      </w:r>
    </w:p>
    <w:p/>
    <w:p/>
    <w:p>
      <w:pPr>
        <w:pStyle w:val="Heading3"/>
      </w:pPr>
      <w:r>
        <w:t>ПЕРЕЛІК УМОВНИХ ПОЗНАЧЕНЬ І СКОРОЧЕНЬ</w:t>
      </w:r>
    </w:p>
    <w:p/>
    <w:p>
      <w:pPr>
        <w:pStyle w:val="ListBullet"/>
      </w:pPr>
      <w:r>
        <w:t>АС — автоматизована система</w:t>
      </w:r>
    </w:p>
    <w:p>
      <w:pPr>
        <w:pStyle w:val="ListBullet"/>
      </w:pPr>
      <w:r>
        <w:t>ОЕС — Об'єднана енергосистема України</w:t>
      </w:r>
    </w:p>
    <w:p>
      <w:pPr>
        <w:pStyle w:val="ListBullet"/>
      </w:pPr>
      <w:r>
        <w:t>ТЗ — технічне завдання</w:t>
      </w:r>
    </w:p>
    <w:p>
      <w:pPr>
        <w:pStyle w:val="ListBullet"/>
      </w:pPr>
      <w:r>
        <w:t>TSO — оператор системи передачі (НЕК «Укренерго»)</w:t>
      </w:r>
    </w:p>
    <w:p>
      <w:pPr>
        <w:pStyle w:val="ListBullet"/>
      </w:pPr>
      <w:r>
        <w:t>РСВ — ринок «на добу наперед»</w:t>
      </w:r>
    </w:p>
    <w:p>
      <w:pPr>
        <w:pStyle w:val="ListBullet"/>
      </w:pPr>
      <w:r>
        <w:t>ВСР — внутрішньодобовий ринок</w:t>
      </w:r>
    </w:p>
    <w:p>
      <w:pPr>
        <w:pStyle w:val="ListBullet"/>
      </w:pPr>
      <w:r>
        <w:t>ОР — оператор ринку</w:t>
      </w:r>
    </w:p>
    <w:p>
      <w:pPr>
        <w:pStyle w:val="ListBullet"/>
      </w:pPr>
      <w:r>
        <w:t>РДН/РДД — ринок «на добу наперед» / внутрішньодобовий (синоніми РСВ/ВСР у термінології ОР)</w:t>
      </w:r>
    </w:p>
    <w:p>
      <w:pPr>
        <w:pStyle w:val="ListBullet"/>
      </w:pPr>
      <w:r>
        <w:t>УР — учасник ринку</w:t>
      </w:r>
    </w:p>
    <w:p>
      <w:pPr>
        <w:pStyle w:val="ListBullet"/>
      </w:pPr>
      <w:r>
        <w:t>EPAD/EIC — ідентифікатор учасника/балансуючої групи (Energy Identification Code)</w:t>
      </w:r>
    </w:p>
    <w:p>
      <w:pPr>
        <w:pStyle w:val="ListBullet"/>
      </w:pPr>
      <w:r>
        <w:t>STOR — surveillance/transaction order register — журнал заявок і угод</w:t>
      </w:r>
    </w:p>
    <w:p>
      <w:pPr>
        <w:pStyle w:val="ListBullet"/>
      </w:pPr>
      <w:r>
        <w:t>MAR — market abuse regulation (європейський підхід до ринкового зловживання як методологічний орієнтир)</w:t>
      </w:r>
    </w:p>
    <w:p>
      <w:pPr>
        <w:pStyle w:val="ListBullet"/>
      </w:pPr>
      <w:r>
        <w:t>REMIT — Regulation on wholesale Energy Market Integrity and Transparency (методологічний орієнтир ENTSO-E/ACER)</w:t>
      </w:r>
    </w:p>
    <w:p>
      <w:pPr>
        <w:pStyle w:val="ListBullet"/>
      </w:pPr>
      <w:r>
        <w:t>КСЗІ — комплексна система захисту інформації</w:t>
      </w:r>
    </w:p>
    <w:p>
      <w:pPr>
        <w:pStyle w:val="ListBullet"/>
      </w:pPr>
      <w:r>
        <w:t>НД ТЗІ — нормативний документ системи технічного захисту інформації</w:t>
      </w:r>
    </w:p>
    <w:p>
      <w:pPr>
        <w:pStyle w:val="ListBullet"/>
      </w:pPr>
      <w:r>
        <w:t>RBAC — рольова модель розмежування доступу (row/column-level)</w:t>
      </w:r>
    </w:p>
    <w:p>
      <w:pPr>
        <w:pStyle w:val="ListBullet"/>
      </w:pPr>
      <w:r>
        <w:t>STR — signal-to-review (сигнал на розгляд; алерт детектора)</w:t>
      </w:r>
    </w:p>
    <w:p>
      <w:pPr>
        <w:pStyle w:val="ListBullet"/>
      </w:pPr>
      <w:r>
        <w:t>SAR — surveillance alert report (звіт за алертом)</w:t>
      </w:r>
    </w:p>
    <w:p>
      <w:pPr>
        <w:pStyle w:val="ListBullet"/>
      </w:pPr>
      <w:r>
        <w:t>MVP — мінімально життєздатний продукт (Етап-1)</w:t>
      </w:r>
    </w:p>
    <w:p>
      <w:pPr>
        <w:pStyle w:val="ListBullet"/>
      </w:pPr>
      <w:r>
        <w:t>NL→SQL — природномовний запит, що транслюється у SQL</w:t>
      </w:r>
    </w:p>
    <w:p/>
    <w:p>
      <w:pPr>
        <w:pStyle w:val="Heading3"/>
      </w:pPr>
      <w:r>
        <w:t>ПЕРЕЛІК НОРМАТИВНИХ ПОСИЛАНЬ</w:t>
      </w:r>
    </w:p>
    <w:p/>
    <w:p>
      <w:pPr>
        <w:pStyle w:val="ListBullet"/>
      </w:pPr>
      <w:r>
        <w:t>ГОСТ 34.602-89. Технічне завдання на створення автоматизованої системи;</w:t>
      </w:r>
    </w:p>
    <w:p>
      <w:pPr>
        <w:pStyle w:val="ListBullet"/>
      </w:pPr>
      <w:r>
        <w:t>ГОСТ 34.601-90. Автоматизовані системи. Стадії створення;</w:t>
      </w:r>
    </w:p>
    <w:p>
      <w:pPr>
        <w:pStyle w:val="ListBullet"/>
      </w:pPr>
      <w:r>
        <w:t>ГОСТ 34.201-89. Види, комплектність і позначення документів при створенні АС;</w:t>
      </w:r>
    </w:p>
    <w:p>
      <w:pPr>
        <w:pStyle w:val="ListBullet"/>
      </w:pPr>
      <w:r>
        <w:t>ГОСТ 34.003-90. Автоматизовані системи. Терміни та визначення;</w:t>
      </w:r>
    </w:p>
    <w:p>
      <w:pPr>
        <w:pStyle w:val="ListBullet"/>
      </w:pPr>
      <w:r>
        <w:t>ДСТУ ГОСТ 2.105. Загальні вимоги до текстових документів;</w:t>
      </w:r>
    </w:p>
    <w:p>
      <w:pPr>
        <w:pStyle w:val="ListBullet"/>
      </w:pPr>
      <w:r>
        <w:t>ДСТУ 4163:2020. Уніфікована система організаційно-розпорядчої документації;</w:t>
      </w:r>
    </w:p>
    <w:p>
      <w:pPr>
        <w:pStyle w:val="ListBullet"/>
      </w:pPr>
      <w:r>
        <w:t>ДСТУ ISO/IEC 12207:2014. Процеси життєвого циклу програмного забезпечення;</w:t>
      </w:r>
    </w:p>
    <w:p>
      <w:pPr>
        <w:pStyle w:val="ListBullet"/>
      </w:pPr>
      <w:r>
        <w:t>НД ТЗІ 1.1-002-99; НД ТЗІ 2.5-004-99; НД ТЗІ 2.5-005-99; НД ТЗІ 3.7-001-99; НД ТЗІ 3.7-003-05;</w:t>
      </w:r>
    </w:p>
    <w:p>
      <w:pPr>
        <w:pStyle w:val="ListBullet"/>
      </w:pPr>
      <w:r>
        <w:t>ДСТУ 3396.0-96; ДСТУ 3396.1-96. Технічний захист інформації;</w:t>
      </w:r>
    </w:p>
    <w:p>
      <w:pPr>
        <w:pStyle w:val="ListBullet"/>
      </w:pPr>
      <w:r>
        <w:t>Закон України «Про ринок електричної енергії»; Правила ринку «на добу наперед» та внутрішньодобового ринку; Кодекс комерційного обліку; нормативні акти НКРЕКП щодо моніторингу оптового ринку електроенергії;</w:t>
      </w:r>
    </w:p>
    <w:p>
      <w:pPr>
        <w:pStyle w:val="ListBullet"/>
      </w:pPr>
      <w:r>
        <w:t>REMIT (EU) No 1227/2011 та керівні документи ACER/ENTSO-E (як методологічний орієнтир класифікації ринкового зловживання, не як пряма норма).</w:t>
      </w:r>
    </w:p>
    <w:p/>
    <w:p/>
    <w:p>
      <w:pPr>
        <w:pStyle w:val="Heading2"/>
      </w:pPr>
      <w:r>
        <w:t>1. ЗАГАЛЬНІ ВІДОМОСТІ</w:t>
      </w:r>
    </w:p>
    <w:p/>
    <w:p>
      <w:pPr>
        <w:pStyle w:val="Heading3"/>
      </w:pPr>
      <w:r>
        <w:t>1.1. Найменування системи</w:t>
      </w:r>
    </w:p>
    <w:p>
      <w:r>
        <w:t>Повне найменування: Система нагляду за маніпуляціями на ринках «на добу наперед» та внутрішньодобовому (РСВ/ВСР).</w:t>
      </w:r>
    </w:p>
    <w:p>
      <w:r>
        <w:t>Скорочене найменування: СНМ РСВ/ВСР (далі — Система).</w:t>
      </w:r>
    </w:p>
    <w:p/>
    <w:p>
      <w:pPr>
        <w:pStyle w:val="Heading3"/>
      </w:pPr>
      <w:r>
        <w:t>1.2. Шифр теми</w:t>
      </w:r>
    </w:p>
    <w:p>
      <w:r>
        <w:t>Встановлюється договором/допсоглашенням на створення Системи. Система реалізується окремим проєктом, з окремим бюджетом та окремим допсоглашенням.</w:t>
      </w:r>
    </w:p>
    <w:p/>
    <w:p>
      <w:pPr>
        <w:pStyle w:val="Heading3"/>
      </w:pPr>
      <w:r>
        <w:t>1.3. Замовник та виконавець</w:t>
      </w:r>
    </w:p>
    <w:p>
      <w:r>
        <w:t>Замовник: Національна енергетична компанія «Укренерго» (НЕК «Укренерго») — оператор системи передачі, диспетчерський (системний) оператор ОЕС України.</w:t>
      </w:r>
    </w:p>
    <w:p>
      <w:r>
        <w:t>Виконавець: визначається за результатами процедури закупівлі/конкурсу.</w:t>
      </w:r>
    </w:p>
    <w:p/>
    <w:p>
      <w:pPr>
        <w:pStyle w:val="Heading3"/>
      </w:pPr>
      <w:r>
        <w:t>1.4. Статус продукту та модель постачання (ключова заява)</w:t>
      </w:r>
    </w:p>
    <w:p>
      <w:r>
        <w:t>Система є самостійним програмним продуктом. Вона постачається окремо, працює автономно та не потребує наявності будь-яких інших рішень Замовника чи розробника для виконання своїх функцій. Передбачається повна передача продукту Замовнику без технологічної залежності від розробника (передача коду, моделей, документації, прав експлуатації; авторські права лишаються за розробником згідно з допсоглашенням).</w:t>
      </w:r>
    </w:p>
    <w:p/>
    <w:p>
      <w:r>
        <w:t>Інтеграція з іншими рішеннями (зокрема із системою аналізу ризиків безпеки A1 та системою прогнозу втрат A3) є опціональною і реалізується через окремий інтеграційний шар — див. окреме рамкове ТЗ інтеграційного шару (шина подій). Відсутність інтеграційного шару не обмежує жодної функції цієї Системи. Шина подій не є ядром Системи і не є умовою її працездатності.</w:t>
      </w:r>
    </w:p>
    <w:p/>
    <w:p>
      <w:r>
        <w:t>Особливість продукту (з програми співпраці Замовника): СНМ РСВ/ВСР є окремим продуктом нижчої вартості порівняно із системою управління ризиками безпеки (A1); обсяг робіт і складність Етапу-1 свідомо обмежені.</w:t>
      </w:r>
    </w:p>
    <w:p/>
    <w:p>
      <w:pPr>
        <w:pStyle w:val="Heading3"/>
      </w:pPr>
      <w:r>
        <w:t>1.5. Підстава для розроблення</w:t>
      </w:r>
    </w:p>
    <w:p>
      <w:pPr>
        <w:pStyle w:val="ListBullet"/>
      </w:pPr>
      <w:r>
        <w:t>рішення Замовника про створення системи нагляду за ринковими маніпуляціями;</w:t>
      </w:r>
    </w:p>
    <w:p>
      <w:pPr>
        <w:pStyle w:val="ListBullet"/>
      </w:pPr>
      <w:r>
        <w:t>завдання забезпечення фінансово-економічної безпеки функціонування ОЕС та цілісності оптового ринку електроенергії;</w:t>
      </w:r>
    </w:p>
    <w:p>
      <w:pPr>
        <w:pStyle w:val="ListBullet"/>
      </w:pPr>
      <w:r>
        <w:t>зобов'язання з прозорості та моніторингу оптового ринку у зв'язку з інтеграцією до ENTSO-E (орієнтир REMIT/ACER).</w:t>
      </w:r>
    </w:p>
    <w:p/>
    <w:p>
      <w:pPr>
        <w:pStyle w:val="Heading3"/>
      </w:pPr>
      <w:r>
        <w:t>1.6. Планові терміни</w:t>
      </w:r>
    </w:p>
    <w:p>
      <w:r>
        <w:t>Визначаються календарним планом (розділ 5). Роботи виконуються у два етапи: Етап-1 (MVP) та Етап-2 (повна система).</w:t>
      </w:r>
    </w:p>
    <w:p/>
    <w:p>
      <w:pPr>
        <w:pStyle w:val="Heading3"/>
      </w:pPr>
      <w:r>
        <w:t>1.7. Клас системи</w:t>
      </w:r>
    </w:p>
    <w:p>
      <w:r>
        <w:t>Система належить до класу систем ринкового нагляду (market surveillance) — функціональний аналог рішень класу Nasdaq SMARTS: безперервний збір журналу заявок/угод, бібліотека детекторів аномалій і маніпулятивних патернів, кейс-менеджмент алертів, рейтингування ризику учасників. Детектори Системи є сигнальними: вони формують обґрунтований сигнал на розгляд (STR), а не доказ правопорушення (інваріант И-4, див. 4.1.6).</w:t>
      </w:r>
    </w:p>
    <w:p/>
    <w:p/>
    <w:p>
      <w:pPr>
        <w:pStyle w:val="Heading2"/>
      </w:pPr>
      <w:r>
        <w:t>2. ПРИЗНАЧЕННЯ ТА ЦІЛІ СТВОРЕННЯ СИСТЕМИ</w:t>
      </w:r>
    </w:p>
    <w:p/>
    <w:p>
      <w:pPr>
        <w:pStyle w:val="Heading3"/>
      </w:pPr>
      <w:r>
        <w:t>2.1. Призначення</w:t>
      </w:r>
    </w:p>
    <w:p>
      <w:r>
        <w:t>Система призначена для автоматичного безперервного виявлення ознак маніпулювання ринком, аномальної поведінки учасників торгів та потенційних порушень ринкових правил на сегментах РСВ та ВСР. Система реалізує наскрізний продуктовий патерн:</w:t>
      </w:r>
    </w:p>
    <w:p/>
    <w:p>
      <w:pPr>
        <w:ind w:left="454"/>
      </w:pPr>
      <w:r>
        <w:rPr>
          <w:i/>
        </w:rPr>
        <w:t>мільйони транзакцій і сценаріїв поведінки → накопичення Big Data журналу ринку → агенти видають дві віддачі (підтяжка поведінкового клона ринку до фактичної динаміки + прикладні інсайти/алерти) → людина-аналітик нагляду працює через агента-бібліотекаря (NL→SQL, графіки, пояснення).</w:t>
      </w:r>
    </w:p>
    <w:p/>
    <w:p>
      <w:r>
        <w:t>Система реалізує двосторонній принцип «щит = меч»: кожний детектор одночасно є щитом (контроль доброчесності власних/системних дій Замовника на ринку, самоконтроль перед регулятором) і мечем (виявлення недобросовісних стратегій інших учасників).</w:t>
      </w:r>
    </w:p>
    <w:p/>
    <w:p>
      <w:pPr>
        <w:pStyle w:val="Heading3"/>
      </w:pPr>
      <w:r>
        <w:t>2.2. Цілі</w:t>
      </w:r>
    </w:p>
    <w:p>
      <w:pPr>
        <w:pStyle w:val="ListBullet"/>
      </w:pPr>
      <w:r>
        <w:t>виявлення цінових і обсягових маніпуляцій на РСВ і ВСР (сигнально);</w:t>
      </w:r>
    </w:p>
    <w:p>
      <w:pPr>
        <w:pStyle w:val="ListBullet"/>
      </w:pPr>
      <w:r>
        <w:t>виявлення аномальних заявок та торгових стратегій окремих учасників;</w:t>
      </w:r>
    </w:p>
    <w:p>
      <w:pPr>
        <w:pStyle w:val="ListBullet"/>
      </w:pPr>
      <w:r>
        <w:t>виявлення ознак координованих дій групи учасників;</w:t>
      </w:r>
    </w:p>
    <w:p>
      <w:pPr>
        <w:pStyle w:val="ListBullet"/>
      </w:pPr>
      <w:r>
        <w:t>контроль відхилень цінових індикаторів від очікуваних/референтних значень;</w:t>
      </w:r>
    </w:p>
    <w:p>
      <w:pPr>
        <w:pStyle w:val="ListBullet"/>
      </w:pPr>
      <w:r>
        <w:t>побудова та підтримка рейтингу ризику учасників ринку;</w:t>
      </w:r>
    </w:p>
    <w:p>
      <w:pPr>
        <w:pStyle w:val="ListBullet"/>
      </w:pPr>
      <w:r>
        <w:t>аналітика за сегментами ринку та автоматичне формування звітів і повідомлень для служби нагляду.</w:t>
      </w:r>
    </w:p>
    <w:p/>
    <w:p>
      <w:pPr>
        <w:pStyle w:val="Heading3"/>
      </w:pPr>
      <w:r>
        <w:t>2.3. Критерії досягнення цілей</w:t>
      </w:r>
    </w:p>
    <w:p>
      <w:r>
        <w:t>Кількісні цільові показники (частка перекритих патернів зловживання з обраної таксономії, частка хибних спрацювань — false-positive rate, час від події до алерту, повнота журналу транзакцій) встановлюються на Етапі-1 за синтетичними/відкритими даними як baseline і уточнюються на Етапі-2 на реальних даних. Значення фіксуються у програмі та методиках випробувань (розділ 6).</w:t>
      </w:r>
    </w:p>
    <w:p/>
    <w:p/>
    <w:p>
      <w:pPr>
        <w:pStyle w:val="Heading2"/>
      </w:pPr>
      <w:r>
        <w:t>3. ХАРАКТЕРИСТИКА ОБ'ЄКТІВ АВТОМАТИЗАЦІЇ</w:t>
      </w:r>
    </w:p>
    <w:p/>
    <w:p>
      <w:pPr>
        <w:pStyle w:val="Heading3"/>
      </w:pPr>
      <w:r>
        <w:t>3.1. Об'єкти автоматизації</w:t>
      </w:r>
    </w:p>
    <w:p>
      <w:pPr>
        <w:pStyle w:val="ListBullet"/>
      </w:pPr>
      <w:r>
        <w:t>Оптовий ринок електричної енергії в сегментах РСВ («на добу наперед») і ВСР (внутрішньодобовий): заявки (orders), угоди (trades), ціни клірингу, обсяги, профілі та ідентифікатори учасників (EIC), часові мітки подачі/зміни/відкликання заявок.</w:t>
      </w:r>
    </w:p>
    <w:p>
      <w:pPr>
        <w:pStyle w:val="ListBullet"/>
      </w:pPr>
      <w:r>
        <w:t>Поведінка учасників ринку — індивідуальна та групова: послідовності заявок, патерни подачі/відкликання, концентрація, реакція на цінові сигнали.</w:t>
      </w:r>
    </w:p>
    <w:p>
      <w:pPr>
        <w:pStyle w:val="ListBullet"/>
      </w:pPr>
      <w:r>
        <w:t>Цінові індикатори ринку та їх відхилення від референтних значень.</w:t>
      </w:r>
    </w:p>
    <w:p/>
    <w:p>
      <w:pPr>
        <w:pStyle w:val="Heading3"/>
      </w:pPr>
      <w:r>
        <w:t>3.2. Джерела та характер даних</w:t>
      </w:r>
    </w:p>
    <w:p>
      <w:pPr>
        <w:pStyle w:val="ListBullet"/>
      </w:pPr>
      <w:r>
        <w:t>Етап-1 (MVP): відкриті дані ENTSO-E Transparency Platform (агреговані ціни/обсяги, генерація, навантаження) + синтетичний журнал заявок/угод, що відтворює як нормальну поведінку, так і навмисно «вшиті» маніпулятивні патерни (для перевірки детекторів — testbed).</w:t>
      </w:r>
    </w:p>
    <w:p>
      <w:pPr>
        <w:pStyle w:val="ListBullet"/>
      </w:pPr>
      <w:r>
        <w:t>Етап-2: реальні мікроструктурні дані РСВ/ВСР від оператора ринку та внутрішні дані Замовника під NDA (повний order book, ідентифіковані учасники).</w:t>
      </w:r>
    </w:p>
    <w:p/>
    <w:p>
      <w:r>
        <w:t>Кожний запис маркується data_origin: SYNTHETIC / OPEN_DATA / NDA_CALIBRATED. Маркування є обов'язковим реквізитом даних і відображається в UI та звітах (інваріант походження).</w:t>
      </w:r>
    </w:p>
    <w:p/>
    <w:p>
      <w:pPr>
        <w:pStyle w:val="Heading3"/>
      </w:pPr>
      <w:r>
        <w:t>3.3. Умови експлуатації</w:t>
      </w:r>
    </w:p>
    <w:p>
      <w:r>
        <w:t>Етап-1 — у середовищі без обробки відомостей, що становлять державну таємницю/комерційну таємницю учасників. Етап-2 — виключно у складі КСЗІ на захищеному (за потреби — ізольованому) контурі Замовника, з дотриманням режиму захисту персоніфікованих ринкових даних.</w:t>
      </w:r>
    </w:p>
    <w:p/>
    <w:p/>
    <w:p>
      <w:pPr>
        <w:pStyle w:val="Heading2"/>
      </w:pPr>
      <w:r>
        <w:t>4. ВИМОГИ ДО СИСТЕМИ</w:t>
      </w:r>
    </w:p>
    <w:p/>
    <w:p>
      <w:pPr>
        <w:pStyle w:val="Heading3"/>
      </w:pPr>
      <w:r>
        <w:t>4.1. Загальносистемні вимоги (інваріанти)</w:t>
      </w:r>
    </w:p>
    <w:p/>
    <w:p>
      <w:r>
        <w:t>4.1.1. Самодостатність. Система виконує всі свої функції автономно, без залежності від A1/A3 чи шини подій. Будь-яка зовнішня інтеграція — опціональний вхід, втрата якого переводить відповідну функцію в деградований режим із явним маркуванням, але не зупиняє Систему.</w:t>
      </w:r>
    </w:p>
    <w:p/>
    <w:p>
      <w:r>
        <w:t>4.1.2. Продуктовий агентний патерн (всередині продукту). Агентний шар є внутрішньою частиною цієї Системи, а не зовнішньою сутністю порталу. Він забезпечує: керування масовою генерацією/прогоном сценаріїв поведінки і накопиченням Big Data журналу; дві віддачі агентів — (а) підтяжку поведінкового клона ринку до фактичної динаміки (калібрування «нормальної» базової лінії, від якої рахуються аномалії), (б) прикладні інсайти й алерти для аналітика нагляду; агента-бібліотекаря (NL→SQL інтерфейс доступу аналітика до журналу та алертів); незмінне журналювання дій агентів.</w:t>
      </w:r>
    </w:p>
    <w:p/>
    <w:p>
      <w:r>
        <w:t>4.1.3. RBAC = ДНК (власний для цього продукту). Рольова модель розмежування доступу вбудована в ядро даних на рівні рядків і стовпців (row/column-level), а не як зовнішній екран. Жоден детектор, агент чи екран не отримує даних в обхід RBAC; правила застосовуються до записів журналу, учасників, сегментів, періодів та до результатів агентів і експортів. Доступ до цієї Системи надається окремим допуском, не пов'язаним з доступом до A1/A3 (користувач може мати доступ до A2 і не мати до інших продуктів).</w:t>
      </w:r>
    </w:p>
    <w:p/>
    <w:p>
      <w:r>
        <w:t>4.1.4. Двосторонність «щит = меч». Кожна аналітична спроможність проєктується так, щоб слугувати і самоконтролю Замовника, і виявленню зовнішнього зловживання. Для кожного детектора у моделі загроз оцінюється ризик зловживання самим інструментом; експорт чутливих зрізів обмежено й логовано.</w:t>
      </w:r>
    </w:p>
    <w:p/>
    <w:p>
      <w:r>
        <w:t>4.1.5. Розмітка походження. Усі дані й похідні результати несуть data_origin (SYNTHETIC/OPEN_DATA/NDA_CALIBRATED); жодна фіча MVP не потребує даних під грифом.</w:t>
      </w:r>
    </w:p>
    <w:p/>
    <w:p>
      <w:r>
        <w:t>4.1.6. Сигнальність детекторів (И-4). Усі детектори формують сигнал на розгляд (STR), а не юридичний доказ маніпуляції. Кожний алерт супроводжується мірою впевненості, переліком ознак-тригерів і посиланнями на сирі дані. Система не виносить вердиктів про правопорушення — рішення приймає аналітик/служба нагляду. Ця вимога обов'язково відображається в UI кожного алерту та у звітах.</w:t>
      </w:r>
    </w:p>
    <w:p/>
    <w:p>
      <w:r>
        <w:t>4.1.7. Фізика/доменні формули Етапу-2 не вигадуються. На рівні цього ТЗ фіксується, *що* система робить і *вимоги до результату* детекторів. Конкретні статистичні пороги, калібрування моделей зловживання, ваги рейтингу ризику для реальних даних — зона доменної деталізації Етапу-2, що узгоджується з фахівцями нагляду НЕК і фіксується в окремому доменному додатку під відповідним грифом.</w:t>
      </w:r>
    </w:p>
    <w:p/>
    <w:p>
      <w:r>
        <w:t>4.1.8. Масштабованість і відтворюваність. Архітектура витримує зростання журналу транзакцій (горизонтальне масштабування сховища й обчислень). Кожен алерт відтворюваний до версії детектора, набору вхідних даних і параметрів прогону.</w:t>
      </w:r>
    </w:p>
    <w:p/>
    <w:p>
      <w:pPr>
        <w:pStyle w:val="Heading3"/>
      </w:pPr>
      <w:r>
        <w:t>4.2. Вимоги до видів забезпечення</w:t>
      </w:r>
    </w:p>
    <w:p>
      <w:pPr>
        <w:pStyle w:val="ListBullet"/>
      </w:pPr>
      <w:r>
        <w:t>Математичне/алгоритмічне: бібліотека детекторів аномалій (статистичні, патерн-матчинг послідовностей заявок, графові методи для координованих дій, baseline-моделі «нормальної» поведінки); моделі рейтингу ризику. Конкретні пороги/ваги — Етап-2.</w:t>
      </w:r>
    </w:p>
    <w:p>
      <w:pPr>
        <w:pStyle w:val="ListBullet"/>
      </w:pPr>
      <w:r>
        <w:t>Інформаційне: єдина модель даних журналу заявок/угод (STOR), каталог учасників (EIC), сховище Big Data, каталог даних з розміткою data_origin і прав RBAC.</w:t>
      </w:r>
    </w:p>
    <w:p>
      <w:pPr>
        <w:pStyle w:val="ListBullet"/>
      </w:pPr>
      <w:r>
        <w:t>Лінгвістичне: природномовний інтерфейс агента-бібліотекаря, українська мова взаємодії; внутрішня мова запитів — SQL.</w:t>
      </w:r>
    </w:p>
    <w:p>
      <w:pPr>
        <w:pStyle w:val="ListBullet"/>
      </w:pPr>
      <w:r>
        <w:t>Програмне: агентний шар, контур детекторів, кейс-менеджмент алертів, сервіси доступу; конкретний стек — на стадії проєктування.</w:t>
      </w:r>
    </w:p>
    <w:p>
      <w:pPr>
        <w:pStyle w:val="ListBullet"/>
      </w:pPr>
      <w:r>
        <w:t>Технічне: обчислювальні потужності під потоковий збір і масові прогони; для Етапу-2 — атестований за КСЗІ контур.</w:t>
      </w:r>
    </w:p>
    <w:p>
      <w:pPr>
        <w:pStyle w:val="ListBullet"/>
      </w:pPr>
      <w:r>
        <w:t>Організаційне/методичне: регламенти ролей нагляду, інструкції користувачів трьох рівнів, методики калібрування детекторів і верифікації алертів.</w:t>
      </w:r>
    </w:p>
    <w:p/>
    <w:p>
      <w:pPr>
        <w:pStyle w:val="Heading3"/>
      </w:pPr>
      <w:r>
        <w:t>4.3. Вимоги до надійності</w:t>
      </w:r>
    </w:p>
    <w:p>
      <w:pPr>
        <w:pStyle w:val="ListBullet"/>
      </w:pPr>
      <w:r>
        <w:t>Готовність контуру збору журналу та аналітичних сервісів; цільові показники доступності — у проєкті.</w:t>
      </w:r>
    </w:p>
    <w:p>
      <w:pPr>
        <w:pStyle w:val="ListBullet"/>
      </w:pPr>
      <w:r>
        <w:t>Безперервність збору: втрата одного джерела даних → деградований режим із маркуванням, без втрати вже накопиченого журналу (резервне копіювання Big Data та моделей).</w:t>
      </w:r>
    </w:p>
    <w:p>
      <w:pPr>
        <w:pStyle w:val="ListBullet"/>
      </w:pPr>
      <w:r>
        <w:t>Цілісність журналу: контроль повноти й послідовності транзакцій, виявлення прогалин.</w:t>
      </w:r>
    </w:p>
    <w:p>
      <w:pPr>
        <w:pStyle w:val="ListBullet"/>
      </w:pPr>
      <w:r>
        <w:t>Виявлення дрейфу моделей «нормальної» поведінки.</w:t>
      </w:r>
    </w:p>
    <w:p/>
    <w:p>
      <w:pPr>
        <w:pStyle w:val="Heading3"/>
      </w:pPr>
      <w:r>
        <w:t>4.4. Вимоги до безпеки та таємності</w:t>
      </w:r>
    </w:p>
    <w:p>
      <w:pPr>
        <w:pStyle w:val="ListBullet"/>
      </w:pPr>
      <w:r>
        <w:t>Гриф: Етап-2 — «цілком таємно»/NDA (персоніфіковані ринкові дані, комерційна таємниця учасників); Етап-1 — ДСК. Перехід між контурами без перенесення чутливих даних у несекретне середовище.</w:t>
      </w:r>
    </w:p>
    <w:p>
      <w:pPr>
        <w:pStyle w:val="ListBullet"/>
      </w:pPr>
      <w:r>
        <w:t>RBAC: як інваріант ядра (4.1.3); мінімально необхідні привілеї; окремий допуск на A2.</w:t>
      </w:r>
    </w:p>
    <w:p>
      <w:pPr>
        <w:pStyle w:val="ListBullet"/>
      </w:pPr>
      <w:r>
        <w:t>КСЗІ: Етап-2 експлуатується у складі КСЗІ з атестацією за НД ТЗІ на захищеному контурі Замовника.</w:t>
      </w:r>
    </w:p>
    <w:p>
      <w:pPr>
        <w:pStyle w:val="ListBullet"/>
      </w:pPr>
      <w:r>
        <w:t>Аудит: повне незмінне журналювання дій користувачів і агентів, усіх запитів і експортів (вимога двосторонності/щита).</w:t>
      </w:r>
    </w:p>
    <w:p/>
    <w:p>
      <w:pPr>
        <w:pStyle w:val="Heading3"/>
      </w:pPr>
      <w:r>
        <w:t>4.5. Вимоги до інтерфейсу (рівні користувачів)</w:t>
      </w:r>
    </w:p>
    <w:p>
      <w:r>
        <w:t>Мова інтерфейсу й документації — українська. Три рівні з розмежуванням за RBAC:</w:t>
      </w:r>
    </w:p>
    <w:p>
      <w:pPr>
        <w:pStyle w:val="ListBullet"/>
      </w:pPr>
      <w:r>
        <w:t>Аналітик нагляду / оператор — робота з чергою алертів і через агента-бібліотекаря (NL-запити, вибірки, графіки) у межах власних прав.</w:t>
      </w:r>
    </w:p>
    <w:p>
      <w:pPr>
        <w:pStyle w:val="ListBullet"/>
      </w:pPr>
      <w:r>
        <w:t>Доменний фахівець нагляду — поглиблений доступ до конфігурації детекторів, порогів, калібрування baseline, верифікація алертів, ведення таксономії патернів.</w:t>
      </w:r>
    </w:p>
    <w:p>
      <w:pPr>
        <w:pStyle w:val="ListBullet"/>
      </w:pPr>
      <w:r>
        <w:t>Адміністратор / відповідальний за безпеку — керування ролями RBAC, грифами, аудитом, конфігурацією Системи.</w:t>
      </w:r>
    </w:p>
    <w:p/>
    <w:p>
      <w:r>
        <w:t>Інтерфейс наочний, з поясненнями результатів агентів; критичні дії (зміна порогів, експорт, закриття кейсу) підтверджуються та журналюються.</w:t>
      </w:r>
    </w:p>
    <w:p/>
    <w:p>
      <w:pPr>
        <w:pStyle w:val="Heading3"/>
      </w:pPr>
      <w:r>
        <w:t>4.6. Таксономія патернів зловживання (предметна модель, зміст — не остаточні формули)</w:t>
      </w:r>
    </w:p>
    <w:p>
      <w:r>
        <w:t>Детектори Системи групуються за орієнтовною таксономією ринкового зловживання (методологічний орієнтир REMIT/MAR, адаптований до РСВ/ВСР). Для кожного класу фіксується *ознака*, не остаточний поріг:</w:t>
      </w:r>
    </w:p>
    <w:p>
      <w:pPr>
        <w:pStyle w:val="ListBullet"/>
      </w:pPr>
      <w:r>
        <w:t>Цінові маніпуляції: дії, спрямовані на зсув ціни клірингу від конкурентного рівня (наприклад, ознаки economic withholding — придержування потужності; capacity/physical withholding).</w:t>
      </w:r>
    </w:p>
    <w:p>
      <w:pPr>
        <w:pStyle w:val="ListBullet"/>
      </w:pPr>
      <w:r>
        <w:t>Маніпуляції заявками (order-based): layering/spoofing-подібні патерни — масова подача й швидке відкликання заявок без наміру виконання, що спотворюють видиму ліквідність/ціну.</w:t>
      </w:r>
    </w:p>
    <w:p>
      <w:pPr>
        <w:pStyle w:val="ListBullet"/>
      </w:pPr>
      <w:r>
        <w:t>Wash/cross-подібні угоди: ознаки операцій без зміни економічної власності/ризику, спрямованих на створення видимості активності.</w:t>
      </w:r>
    </w:p>
    <w:p>
      <w:pPr>
        <w:pStyle w:val="ListBullet"/>
      </w:pPr>
      <w:r>
        <w:t>Координовані дії: синхронні/корельовані стратегії групи учасників (графовий аналіз зв'язків і часової синхронності).</w:t>
      </w:r>
    </w:p>
    <w:p>
      <w:pPr>
        <w:pStyle w:val="ListBullet"/>
      </w:pPr>
      <w:r>
        <w:t>Транскордонні/міжсегментні зсуви: використання різниці РСВ↔ВСР↔балансуючий для отримання неконкурентної переваги.</w:t>
      </w:r>
    </w:p>
    <w:p>
      <w:r>
        <w:t>Таксономія розширювана; додавання нового детектора не потребує зміни ядра.</w:t>
      </w:r>
    </w:p>
    <w:p/>
    <w:p>
      <w:pPr>
        <w:pStyle w:val="Heading3"/>
      </w:pPr>
      <w:r>
        <w:t>4.7. Функціональні вимоги — екрани MVP</w:t>
      </w:r>
    </w:p>
    <w:p>
      <w:r>
        <w:t>Нижче — обов'язковий склад екранів MVP. Кожен екран описано як: призначення → вміст → вимоги (FR). Усі екрани працюють на синтетиці + відкритих даних без жодного входу під грифом і підпорядковані RBAC на рівні рядків/стовпців.</w:t>
      </w:r>
    </w:p>
    <w:p/>
    <w:p>
      <w:pPr>
        <w:pStyle w:val="Heading3"/>
      </w:pPr>
      <w:r>
        <w:t>4.7.1. Екран «Пульт нагляду» (Surveillance Dashboard)</w:t>
      </w:r>
    </w:p>
    <w:p>
      <w:r>
        <w:t>Призначення. Стартовий оглядовий екран служби нагляду: стан ринку РСВ/ВСР і потік свіжих алертів «тут і зараз».</w:t>
      </w:r>
    </w:p>
    <w:p>
      <w:r>
        <w:t>Вміст:</w:t>
      </w:r>
    </w:p>
    <w:p>
      <w:pPr>
        <w:pStyle w:val="ListBullet"/>
      </w:pPr>
      <w:r>
        <w:t>Зведення за сегментами РСВ/ВСР: ціна клірингу, обсяг, кількість активних учасників, відхилення цінового індикатора від референсу.</w:t>
      </w:r>
    </w:p>
    <w:p>
      <w:pPr>
        <w:pStyle w:val="ListBullet"/>
      </w:pPr>
      <w:r>
        <w:t>Лічильники алертів за рівнями критичності (низький/середній/високий) і за класами таксономії (4.6).</w:t>
      </w:r>
    </w:p>
    <w:p>
      <w:pPr>
        <w:pStyle w:val="ListBullet"/>
      </w:pPr>
      <w:r>
        <w:t>Стрічка останніх STR із міткою data_origin і мірою впевненості.</w:t>
      </w:r>
    </w:p>
    <w:p>
      <w:pPr>
        <w:pStyle w:val="ListBullet"/>
      </w:pPr>
      <w:r>
        <w:t>Індикатор повноти/достовірності входів (повні дані / деградований режим).</w:t>
      </w:r>
    </w:p>
    <w:p/>
    <w:p>
      <w:r>
        <w:t>Вимоги:</w:t>
      </w:r>
    </w:p>
    <w:p>
      <w:pPr>
        <w:pStyle w:val="ListBullet"/>
      </w:pPr>
      <w:r>
        <w:t>FR-2.1.1. Перемикання сегмента (РСВ / ВСР / обидва) і періоду (доба / тиждень / місяць) без перезавантаження.</w:t>
      </w:r>
    </w:p>
    <w:p>
      <w:pPr>
        <w:pStyle w:val="ListBullet"/>
      </w:pPr>
      <w:r>
        <w:t>FR-2.1.2. Кожен елемент стрічки алертів клікабельний → перехід у «Картку алерту» (4.7.3) з контекстом.</w:t>
      </w:r>
    </w:p>
    <w:p>
      <w:pPr>
        <w:pStyle w:val="ListBullet"/>
      </w:pPr>
      <w:r>
        <w:t>FR-2.1.3. Кожен показник несе явну мітку data_origin (SYNTHETIC/OPEN_DATA/NDA_CALIBRATED).</w:t>
      </w:r>
    </w:p>
    <w:p>
      <w:pPr>
        <w:pStyle w:val="ListBullet"/>
      </w:pPr>
      <w:r>
        <w:t>FR-2.1.4. Деградований режим (відсутній один із входів) маркується банером; Система не подає «впевнений» стан на неповних даних.</w:t>
      </w:r>
    </w:p>
    <w:p/>
    <w:p>
      <w:pPr>
        <w:pStyle w:val="Heading3"/>
      </w:pPr>
      <w:r>
        <w:t>4.7.2. Екран «Стрічка/черга алертів» (Alert Queue)</w:t>
      </w:r>
    </w:p>
    <w:p>
      <w:r>
        <w:t>Призначення. Робоча черга аналітика: усі STR із фільтрацією, сортуванням і призначенням на розгляд.</w:t>
      </w:r>
    </w:p>
    <w:p>
      <w:r>
        <w:t>Вміст:</w:t>
      </w:r>
    </w:p>
    <w:p>
      <w:pPr>
        <w:pStyle w:val="ListBullet"/>
      </w:pPr>
      <w:r>
        <w:t>Таблиця алертів: час, сегмент, клас патерну, учасник(и), міра впевненості, статус (новий / у роботі / закритий-обґрунтований / закритий-хибний), відповідальний.</w:t>
      </w:r>
    </w:p>
    <w:p>
      <w:pPr>
        <w:pStyle w:val="ListBullet"/>
      </w:pPr>
      <w:r>
        <w:t>Фільтри за класом, сегментом, учасником, періодом, мірою впевненості, статусом.</w:t>
      </w:r>
    </w:p>
    <w:p>
      <w:pPr>
        <w:pStyle w:val="ListBullet"/>
      </w:pPr>
      <w:r>
        <w:t>Масові дії (призначити, змінити статус) — журналюються.</w:t>
      </w:r>
    </w:p>
    <w:p/>
    <w:p>
      <w:r>
        <w:t>Вимоги:</w:t>
      </w:r>
    </w:p>
    <w:p>
      <w:pPr>
        <w:pStyle w:val="ListBullet"/>
      </w:pPr>
      <w:r>
        <w:t>FR-2.2.1. Сортування й фільтрація за будь-яким стовпцем без перезавантаження.</w:t>
      </w:r>
    </w:p>
    <w:p>
      <w:pPr>
        <w:pStyle w:val="ListBullet"/>
      </w:pPr>
      <w:r>
        <w:t>FR-2.2.2. Статусна модель кейсу (життєвий цикл алерту) із обов'язковим обґрунтуванням при закритті як «хибний».</w:t>
      </w:r>
    </w:p>
    <w:p>
      <w:pPr>
        <w:pStyle w:val="ListBullet"/>
      </w:pPr>
      <w:r>
        <w:t>FR-2.2.3. Видимість рядків і стовпців обмежена RBAC (аналітик бачить лише дозволені сегменти/учасників).</w:t>
      </w:r>
    </w:p>
    <w:p>
      <w:pPr>
        <w:pStyle w:val="ListBullet"/>
      </w:pPr>
      <w:r>
        <w:t>FR-2.2.4. Журнал зміни статусів незмінний (audit trail кейсу).</w:t>
      </w:r>
    </w:p>
    <w:p/>
    <w:p>
      <w:pPr>
        <w:pStyle w:val="Heading3"/>
      </w:pPr>
      <w:r>
        <w:t>4.7.3. Екран «Картка алерту» (Alert / Case Detail)</w:t>
      </w:r>
    </w:p>
    <w:p>
      <w:r>
        <w:t>Призначення. Повне розслідування одного STR: чому спрацював детектор, з якими доказовими ознаками, з посиланням на сирі дані.</w:t>
      </w:r>
    </w:p>
    <w:p>
      <w:r>
        <w:t>Вміст:</w:t>
      </w:r>
    </w:p>
    <w:p>
      <w:pPr>
        <w:pStyle w:val="ListBullet"/>
      </w:pPr>
      <w:r>
        <w:t>Заголовок: клас патерну, сегмент, учасник(и), вікно часу, міра впевненості.</w:t>
      </w:r>
    </w:p>
    <w:p>
      <w:pPr>
        <w:pStyle w:val="ListBullet"/>
      </w:pPr>
      <w:r>
        <w:t>Перелік ознак-тригерів детектора з числовими значеннями (наприклад: «частка відкликаних заявок 92% за 4 хв», «обсяг заявок ×7 від медіани учасника»).</w:t>
      </w:r>
    </w:p>
    <w:p>
      <w:pPr>
        <w:pStyle w:val="ListBullet"/>
      </w:pPr>
      <w:r>
        <w:t>Реконструкція епізоду: таймлайн заявок/відкликань/угод учасника проти ринкового контексту (ціна/обсяг).</w:t>
      </w:r>
    </w:p>
    <w:p>
      <w:pPr>
        <w:pStyle w:val="ListBullet"/>
      </w:pPr>
      <w:r>
        <w:t>Явне застереження И-4: «Сигнал на розгляд, не доказ маніпуляції».</w:t>
      </w:r>
    </w:p>
    <w:p>
      <w:pPr>
        <w:pStyle w:val="ListBullet"/>
      </w:pPr>
      <w:r>
        <w:t>Пояснення агента-аналітика природною українською мовою.</w:t>
      </w:r>
    </w:p>
    <w:p/>
    <w:p>
      <w:r>
        <w:t>Вимоги:</w:t>
      </w:r>
    </w:p>
    <w:p>
      <w:pPr>
        <w:pStyle w:val="ListBullet"/>
      </w:pPr>
      <w:r>
        <w:t>FR-2.3.1. Кожна ознака-тригер клікабельна → перехід до відповідних сирих записів журналу (drill-down до транзакції).</w:t>
      </w:r>
    </w:p>
    <w:p>
      <w:pPr>
        <w:pStyle w:val="ListBullet"/>
      </w:pPr>
      <w:r>
        <w:t>FR-2.3.2. На картці обов'язково й незмінно присутній дисклеймер сигнальності (И-4).</w:t>
      </w:r>
    </w:p>
    <w:p>
      <w:pPr>
        <w:pStyle w:val="ListBullet"/>
      </w:pPr>
      <w:r>
        <w:t>FR-2.3.3. Агент-пояснювач генерує текстову атрибуцію («ознаки layering: 480 заявок подано й відкликано протягом 6 хв на стороні попиту перед клірингом РСВ, що збіглося зі зсувом ціни на +9%»). Текст маркується як згенерований і як сигнальний.</w:t>
      </w:r>
    </w:p>
    <w:p>
      <w:pPr>
        <w:pStyle w:val="ListBullet"/>
      </w:pPr>
      <w:r>
        <w:t>FR-2.3.4. Дії з карткою (відкриття, експорт, зміна статусу) логуються.</w:t>
      </w:r>
    </w:p>
    <w:p/>
    <w:p>
      <w:pPr>
        <w:pStyle w:val="Heading3"/>
      </w:pPr>
      <w:r>
        <w:t>4.7.4. Екран «Профіль/поведінка учасника» (Participant Behavior)</w:t>
      </w:r>
    </w:p>
    <w:p>
      <w:r>
        <w:t>Призначення. Аналіз історичної та поточної поведінки окремого учасника ринку.</w:t>
      </w:r>
    </w:p>
    <w:p>
      <w:r>
        <w:t>Вміст:</w:t>
      </w:r>
    </w:p>
    <w:p>
      <w:pPr>
        <w:pStyle w:val="ListBullet"/>
      </w:pPr>
      <w:r>
        <w:t>Профіль учасника (EIC, сегмент(и) активності), базова лінія «нормальної» поведінки (калібрований агентами клон).</w:t>
      </w:r>
    </w:p>
    <w:p>
      <w:pPr>
        <w:pStyle w:val="ListBullet"/>
      </w:pPr>
      <w:r>
        <w:t>Часові ряди активності: обсяги заявок, частка відкликань, концентрація, відхилення від власної baseline та від сегментної норми.</w:t>
      </w:r>
    </w:p>
    <w:p>
      <w:pPr>
        <w:pStyle w:val="ListBullet"/>
      </w:pPr>
      <w:r>
        <w:t>Історія алертів учасника та підсумковий бал ризику (зв'язок з 4.7.6).</w:t>
      </w:r>
    </w:p>
    <w:p/>
    <w:p>
      <w:r>
        <w:t>Вимоги:</w:t>
      </w:r>
    </w:p>
    <w:p>
      <w:pPr>
        <w:pStyle w:val="ListBullet"/>
      </w:pPr>
      <w:r>
        <w:t>FR-2.4.1. Порівняння поведінки учасника з його власною baseline і з нормою сегмента на одному графіку.</w:t>
      </w:r>
    </w:p>
    <w:p>
      <w:pPr>
        <w:pStyle w:val="ListBullet"/>
      </w:pPr>
      <w:r>
        <w:t>FR-2.4.2. Виокремлення відхилень (поведінкова «надбавка») з числовим значенням і напрямом тренду.</w:t>
      </w:r>
    </w:p>
    <w:p>
      <w:pPr>
        <w:pStyle w:val="ListBullet"/>
      </w:pPr>
      <w:r>
        <w:t>FR-2.4.3. У синтетичному режимі MVP учасники анонімізовані/псевдонімізовані; персоніфікація — лише Етап-2 під RBAC і NDA.</w:t>
      </w:r>
    </w:p>
    <w:p/>
    <w:p>
      <w:pPr>
        <w:pStyle w:val="Heading3"/>
      </w:pPr>
      <w:r>
        <w:t>4.7.5. Екран «Виявлення координованих дій» (Coordination / Network)</w:t>
      </w:r>
    </w:p>
    <w:p>
      <w:r>
        <w:t>Призначення. Виявлення ознак узгодженої поведінки групи учасників.</w:t>
      </w:r>
    </w:p>
    <w:p>
      <w:r>
        <w:t>Вміст:</w:t>
      </w:r>
    </w:p>
    <w:p>
      <w:pPr>
        <w:pStyle w:val="ListBullet"/>
      </w:pPr>
      <w:r>
        <w:t>Граф зв'язків учасників: ребра = синхронність/кореляція стратегій, спільні часові вікна, дзеркальні заявки.</w:t>
      </w:r>
    </w:p>
    <w:p>
      <w:pPr>
        <w:pStyle w:val="ListBullet"/>
      </w:pPr>
      <w:r>
        <w:t>Кластери з підозрілою синхронністю; шкала сили зв'язку.</w:t>
      </w:r>
    </w:p>
    <w:p>
      <w:pPr>
        <w:pStyle w:val="ListBullet"/>
      </w:pPr>
      <w:r>
        <w:t>Часовий зріз: відтворення синхронного епізоду.</w:t>
      </w:r>
    </w:p>
    <w:p/>
    <w:p>
      <w:r>
        <w:t>Вимоги:</w:t>
      </w:r>
    </w:p>
    <w:p>
      <w:pPr>
        <w:pStyle w:val="ListBullet"/>
      </w:pPr>
      <w:r>
        <w:t>FR-2.5.1. Параметри детектора координації (вікно синхронності, поріг кореляції) — налаштовувані доменним фахівцем; перерахунок графа в інтерактивному часі.</w:t>
      </w:r>
    </w:p>
    <w:p>
      <w:pPr>
        <w:pStyle w:val="ListBullet"/>
      </w:pPr>
      <w:r>
        <w:t>FR-2.5.2. Кожен виявлений кластер породжує STR класу «координовані дії» з ознаками-тригерами та дисклеймером И-4.</w:t>
      </w:r>
    </w:p>
    <w:p>
      <w:pPr>
        <w:pStyle w:val="ListBullet"/>
      </w:pPr>
      <w:r>
        <w:t>FR-2.5.3. Графовий аналіз підпорядкований RBAC: учасники поза правами доступу не відображаються.</w:t>
      </w:r>
    </w:p>
    <w:p/>
    <w:p>
      <w:pPr>
        <w:pStyle w:val="Heading3"/>
      </w:pPr>
      <w:r>
        <w:t>4.7.6. Екран «Рейтинг ризику учасників» (Risk Rating)</w:t>
      </w:r>
    </w:p>
    <w:p>
      <w:r>
        <w:t>Призначення. Зведений рейтинг ризику учасників ринку для пріоритизації нагляду.</w:t>
      </w:r>
    </w:p>
    <w:p>
      <w:r>
        <w:t>Вміст:</w:t>
      </w:r>
    </w:p>
    <w:p>
      <w:pPr>
        <w:pStyle w:val="ListBullet"/>
      </w:pPr>
      <w:r>
        <w:t>Ранжований список учасників із інтегральним балом ризику та його декомпозицією за класами патернів (4.6).</w:t>
      </w:r>
    </w:p>
    <w:p>
      <w:pPr>
        <w:pStyle w:val="ListBullet"/>
      </w:pPr>
      <w:r>
        <w:t>Динаміка балу в часі; пояснення внеску кожного фактора.</w:t>
      </w:r>
    </w:p>
    <w:p>
      <w:pPr>
        <w:pStyle w:val="ListBullet"/>
      </w:pPr>
      <w:r>
        <w:t>Перехід від рядка рейтингу до профілю учасника (4.7.4) та його алертів.</w:t>
      </w:r>
    </w:p>
    <w:p/>
    <w:p>
      <w:r>
        <w:t>Вимоги:</w:t>
      </w:r>
    </w:p>
    <w:p>
      <w:pPr>
        <w:pStyle w:val="ListBullet"/>
      </w:pPr>
      <w:r>
        <w:t>FR-2.6.1. Бал ризику = зважена агрегація сигналів детекторів за період; ваги — параметри, що задаються доменним фахівцем (значення для реальних даних — Етап-2).</w:t>
      </w:r>
    </w:p>
    <w:p>
      <w:pPr>
        <w:pStyle w:val="ListBullet"/>
      </w:pPr>
      <w:r>
        <w:t>FR-2.6.2. Бал інтерпретований: для кожного учасника видно, які фактори/класи його сформували (інакше неможлива пріоритизація).</w:t>
      </w:r>
    </w:p>
    <w:p>
      <w:pPr>
        <w:pStyle w:val="ListBullet"/>
      </w:pPr>
      <w:r>
        <w:t>FR-2.6.3. Рейтинг — сигнальний інструмент пріоритизації, не висновок про вину (И-4); відповідне застереження на екрані.</w:t>
      </w:r>
    </w:p>
    <w:p/>
    <w:p>
      <w:pPr>
        <w:pStyle w:val="Heading3"/>
      </w:pPr>
      <w:r>
        <w:t>4.7.7. Екран «Контроль цінових індикаторів» (Price Integrity)</w:t>
      </w:r>
    </w:p>
    <w:p>
      <w:r>
        <w:t>Призначення. Контроль відхилень цінових індикаторів РСВ/ВСР від очікуваних/референтних значень.</w:t>
      </w:r>
    </w:p>
    <w:p>
      <w:r>
        <w:t>Вміст:</w:t>
      </w:r>
    </w:p>
    <w:p>
      <w:pPr>
        <w:pStyle w:val="ListBullet"/>
      </w:pPr>
      <w:r>
        <w:t>Графік фактичної ціни клірингу проти референсу (модель очікуваної ціни / історична норма / суміжний сегмент).</w:t>
      </w:r>
    </w:p>
    <w:p>
      <w:pPr>
        <w:pStyle w:val="ListBullet"/>
      </w:pPr>
      <w:r>
        <w:t>Маркування періодів аномальних відхилень із прив'язкою до можливих учасників-драйверів.</w:t>
      </w:r>
    </w:p>
    <w:p>
      <w:pPr>
        <w:pStyle w:val="ListBullet"/>
      </w:pPr>
      <w:r>
        <w:t>Зіставлення РСВ↔ВСР для виявлення міжсегментних зсувів.</w:t>
      </w:r>
    </w:p>
    <w:p/>
    <w:p>
      <w:r>
        <w:t>Вимоги:</w:t>
      </w:r>
    </w:p>
    <w:p>
      <w:pPr>
        <w:pStyle w:val="ListBullet"/>
      </w:pPr>
      <w:r>
        <w:t>FR-2.7.1. Розрахунок відхилення з довірчим коридором (P10/P50/P90 або еквівалент); вихід за коридор → кандидат у STR.</w:t>
      </w:r>
    </w:p>
    <w:p>
      <w:pPr>
        <w:pStyle w:val="ListBullet"/>
      </w:pPr>
      <w:r>
        <w:t>FR-2.7.2. Клік на аномальний період → перелік учасників/заявок, що найбільше вплинули на зсув (drill-down).</w:t>
      </w:r>
    </w:p>
    <w:p>
      <w:pPr>
        <w:pStyle w:val="ListBullet"/>
      </w:pPr>
      <w:r>
        <w:t>FR-2.7.3. Модель референсної ціни MVP — на відкритих/синтетичних даних; повна модель — Етап-2.</w:t>
      </w:r>
    </w:p>
    <w:p/>
    <w:p>
      <w:pPr>
        <w:pStyle w:val="Heading3"/>
      </w:pPr>
      <w:r>
        <w:t>4.7.8. Екран «Аналітика за сегментами» (Segment Analytics)</w:t>
      </w:r>
    </w:p>
    <w:p>
      <w:r>
        <w:t>Призначення. Зведена аналітика поведінки ринку за сегментами і періодами.</w:t>
      </w:r>
    </w:p>
    <w:p>
      <w:r>
        <w:t>Вміст:</w:t>
      </w:r>
    </w:p>
    <w:p>
      <w:pPr>
        <w:pStyle w:val="ListBullet"/>
      </w:pPr>
      <w:r>
        <w:t>Метрики за сегментами РСВ/ВСР: концентрація (HHI-подібні показники), ліквідність, волатильність, частка відкликань.</w:t>
      </w:r>
    </w:p>
    <w:p>
      <w:pPr>
        <w:pStyle w:val="ListBullet"/>
      </w:pPr>
      <w:r>
        <w:t>Порівняння сегментів і періодів; тренди.</w:t>
      </w:r>
    </w:p>
    <w:p/>
    <w:p>
      <w:r>
        <w:t>Вимоги:</w:t>
      </w:r>
    </w:p>
    <w:p>
      <w:pPr>
        <w:pStyle w:val="ListBullet"/>
      </w:pPr>
      <w:r>
        <w:t>FR-2.8.1. Будь-який зріз сегментної аналітики формується запитом і доступний агенту-бібліотекарю.</w:t>
      </w:r>
    </w:p>
    <w:p>
      <w:pPr>
        <w:pStyle w:val="ListBullet"/>
      </w:pPr>
      <w:r>
        <w:t>FR-2.8.2. Усі показники маркуються data_origin.</w:t>
      </w:r>
    </w:p>
    <w:p/>
    <w:p>
      <w:pPr>
        <w:pStyle w:val="Heading3"/>
      </w:pPr>
      <w:r>
        <w:t>4.7.9. Екран «Звіти і повідомлення» (Reports &amp; Notifications)</w:t>
      </w:r>
    </w:p>
    <w:p>
      <w:r>
        <w:t>Призначення. Автоматичне формування звітів нагляду (SAR) і повідомлень про критичні алерти.</w:t>
      </w:r>
    </w:p>
    <w:p>
      <w:r>
        <w:t>Вміст:</w:t>
      </w:r>
    </w:p>
    <w:p>
      <w:pPr>
        <w:pStyle w:val="ListBullet"/>
      </w:pPr>
      <w:r>
        <w:t>Конструктор/шаблони звітів за період, сегмент, учасника, клас патерну.</w:t>
      </w:r>
    </w:p>
    <w:p>
      <w:pPr>
        <w:pStyle w:val="ListBullet"/>
      </w:pPr>
      <w:r>
        <w:t>Налаштування автоматичних повідомлень (поріг критичності → адресати) із журналюванням розсилки.</w:t>
      </w:r>
    </w:p>
    <w:p>
      <w:pPr>
        <w:pStyle w:val="ListBullet"/>
      </w:pPr>
      <w:r>
        <w:t>Експорт звіту (з урахуванням обмежень експорту, 4.4 і И-4).</w:t>
      </w:r>
    </w:p>
    <w:p/>
    <w:p>
      <w:r>
        <w:t>Вимоги:</w:t>
      </w:r>
    </w:p>
    <w:p>
      <w:pPr>
        <w:pStyle w:val="ListBullet"/>
      </w:pPr>
      <w:r>
        <w:t>FR-2.9.1. Авто-формування звіту за розкладом і за подією (тригер критичного алерту).</w:t>
      </w:r>
    </w:p>
    <w:p>
      <w:pPr>
        <w:pStyle w:val="ListBullet"/>
      </w:pPr>
      <w:r>
        <w:t>FR-2.9.2. Кожен звіт містить мітки data_origin і дисклеймер сигнальності (И-4).</w:t>
      </w:r>
    </w:p>
    <w:p>
      <w:pPr>
        <w:pStyle w:val="ListBullet"/>
      </w:pPr>
      <w:r>
        <w:t>FR-2.9.3. Експорт обмежено RBAC і логовано (двосторонність); чутливі зрізи — за окремим правом.</w:t>
      </w:r>
    </w:p>
    <w:p/>
    <w:p>
      <w:pPr>
        <w:pStyle w:val="Heading3"/>
      </w:pPr>
      <w:r>
        <w:t>4.7.10. Екран «Агент-бібліотекар» (NL→SQL)</w:t>
      </w:r>
    </w:p>
    <w:p>
      <w:r>
        <w:t>Призначення. Доступ аналітика до журналу та алертів природною українською мовою.</w:t>
      </w:r>
    </w:p>
    <w:p>
      <w:r>
        <w:t>Вміст:</w:t>
      </w:r>
    </w:p>
    <w:p>
      <w:pPr>
        <w:pStyle w:val="ListBullet"/>
      </w:pPr>
      <w:r>
        <w:t>Поле природномовного запиту → таблиця/графік + згенерований SQL для прозорості.</w:t>
      </w:r>
    </w:p>
    <w:p>
      <w:pPr>
        <w:pStyle w:val="ListBullet"/>
      </w:pPr>
      <w:r>
        <w:t>Збережені запити, історія.</w:t>
      </w:r>
    </w:p>
    <w:p/>
    <w:p>
      <w:r>
        <w:t>Вимоги:</w:t>
      </w:r>
    </w:p>
    <w:p>
      <w:pPr>
        <w:pStyle w:val="ListBullet"/>
      </w:pPr>
      <w:r>
        <w:t>FR-2.10.1. NL-запит транслюється у SQL до сховища; повертається таблиця або графік.</w:t>
      </w:r>
    </w:p>
    <w:p>
      <w:pPr>
        <w:pStyle w:val="ListBullet"/>
      </w:pPr>
      <w:r>
        <w:t>FR-2.10.2. Кожен запит проходить через RBAC на рівні рядків і стовпців (учасники/сегменти/періоди поза правами — недоступні).</w:t>
      </w:r>
    </w:p>
    <w:p>
      <w:pPr>
        <w:pStyle w:val="ListBullet"/>
      </w:pPr>
      <w:r>
        <w:t>FR-2.10.3. Усі запити логуються в незмінний аудит.</w:t>
      </w:r>
    </w:p>
    <w:p>
      <w:pPr>
        <w:pStyle w:val="ListBullet"/>
      </w:pPr>
      <w:r>
        <w:t>FR-2.10.4. Згенерований SQL показується користувачеві (прозорість і відтворюваність).</w:t>
      </w:r>
    </w:p>
    <w:p/>
    <w:p>
      <w:pPr>
        <w:pStyle w:val="Heading3"/>
      </w:pPr>
      <w:r>
        <w:t>4.8. Моделі виявлення</w:t>
      </w:r>
    </w:p>
    <w:p>
      <w:r>
        <w:t>4.8.1. MVP (Етап-1). Baseline «нормальної» поведінки (статистичні профілі учасників/сегментів) + детектори: статистичні (відхилення від baseline), патерн-матчинг послідовностей заявок (layering/spoofing-подібні), графові (координація), цінові (відхилення індикаторів). Дані навчання/перевірки: відкриті ENTSO-E + синтетичний журнал із вшитими патернами.</w:t>
      </w:r>
    </w:p>
    <w:p>
      <w:r>
        <w:t>Вимоги:</w:t>
      </w:r>
    </w:p>
    <w:p>
      <w:pPr>
        <w:pStyle w:val="ListBullet"/>
      </w:pPr>
      <w:r>
        <w:t>FR-2.11.1. Кожен детектор віддає не лише факт спрацювання, а міру впевненості і перелік ознак-тригерів.</w:t>
      </w:r>
    </w:p>
    <w:p>
      <w:pPr>
        <w:pStyle w:val="ListBullet"/>
      </w:pPr>
      <w:r>
        <w:t>FR-2.11.2. Детектори інтерпретовані (ознаки мапляться на клас таксономії) — інакше неможливі екрани «Картка алерту» і «Рейтинг».</w:t>
      </w:r>
    </w:p>
    <w:p>
      <w:pPr>
        <w:pStyle w:val="ListBullet"/>
      </w:pPr>
      <w:r>
        <w:t>FR-2.11.3. Конфігурація порогів і ваг — без перекомпіляції; зміни журналюються.</w:t>
      </w:r>
    </w:p>
    <w:p>
      <w:pPr>
        <w:pStyle w:val="ListBullet"/>
      </w:pPr>
      <w:r>
        <w:t>FR-2.11.4. Перенавчання baseline за розкладом і після накопичення верифікованих кейсів (зворотний зв'язок аналітика).</w:t>
      </w:r>
    </w:p>
    <w:p/>
    <w:p>
      <w:r>
        <w:t>4.8.2. Vision / Етап-2 (зона доменної деталізації — пороги/формули НЕ фіксуються тут). Перехід від статистичних детекторів до каліброваних на реальних даних моделей зловживання; точні пороги, ваги рейтингу, моделі референсної ціни узгоджуються з фахівцями нагляду НЕК і фіксуються в окремому доменному додатку під грифом. Орієнтири (структура, не остаточні рівняння): моделі економічного придержування, повна графова модель координації на ідентифікованих учасниках, ML-класифікатори патернів із контролем false-positive rate.</w:t>
      </w:r>
    </w:p>
    <w:p/>
    <w:p>
      <w:pPr>
        <w:pStyle w:val="Heading3"/>
      </w:pPr>
      <w:r>
        <w:t>4.9. Інтеграція (опціональна)</w:t>
      </w:r>
    </w:p>
    <w:p>
      <w:pPr>
        <w:pStyle w:val="ListBullet"/>
      </w:pPr>
      <w:r>
        <w:t>Зовнішні дані (обов'язкові для роботи продукту): ENTSO-E Transparency Platform (MVP); реальні дані оператора ринку РСВ/ВСР під NDA (Етап-2).</w:t>
      </w:r>
    </w:p>
    <w:p>
      <w:pPr>
        <w:pStyle w:val="ListBullet"/>
      </w:pPr>
      <w:r>
        <w:t>Інтеграція з A1/A3 — опціональна, через окремий інтеграційний шар (шина подій): напр., передача сигналу про підозрілий ринковий епізод у A1 як вхід оцінки ризику; отримання режимних подій. FR-2.12.1. Контракти інтеграції версіонуються; за відсутності шини Система працює повноцінно в автономному режимі з маркуванням «інтеграція недоступна».</w:t>
      </w:r>
    </w:p>
    <w:p/>
    <w:p>
      <w:pPr>
        <w:pStyle w:val="Heading3"/>
      </w:pPr>
      <w:r>
        <w:t>4.10. Нефункціональні вимоги</w:t>
      </w:r>
    </w:p>
    <w:p>
      <w:pPr>
        <w:pStyle w:val="ListBullet"/>
      </w:pPr>
      <w:r>
        <w:t>Продуктивність: перерахунок інтерактивних зрізів (граф координації, відхилення цін) — одиниці секунд; затримка від події до алерту — цільова, фіксується на Етапі-1 як baseline.</w:t>
      </w:r>
    </w:p>
    <w:p>
      <w:pPr>
        <w:pStyle w:val="ListBullet"/>
      </w:pPr>
      <w:r>
        <w:t>Достовірність: будь-яка деградація входів явно маркується; Система не видає «впевнених» алертів на неповних даних.</w:t>
      </w:r>
    </w:p>
    <w:p>
      <w:pPr>
        <w:pStyle w:val="ListBullet"/>
      </w:pPr>
      <w:r>
        <w:t>Відтворюваність: кожен алерт зберігає версію детектора, набір входів і знімок параметрів.</w:t>
      </w:r>
    </w:p>
    <w:p>
      <w:pPr>
        <w:pStyle w:val="ListBullet"/>
      </w:pPr>
      <w:r>
        <w:t>Мова: UI, звіти, повідомлення агентів, документація — українська.</w:t>
      </w:r>
    </w:p>
    <w:p/>
    <w:p/>
    <w:p>
      <w:pPr>
        <w:pStyle w:val="Heading3"/>
      </w:pPr>
      <w:r>
        <w:t>4.8. Надбудова: автономний агентний контур 24/7 (БОНУС понад обовʼязкові вимоги)</w:t>
      </w:r>
    </w:p>
    <w:p/>
    <w:p>
      <w:pPr>
        <w:ind w:left="454"/>
      </w:pPr>
      <w:r>
        <w:rPr>
          <w:i/>
        </w:rPr>
        <w:t>Статус. Цей розділ описує додаткову спроможність-надбудову понад обовʼязкові вимоги Замовника (розділ 4.6). Усі функції розділів 1–4.7 є базою приймання й виконуються незалежно від цієї надбудови. Агентний контур 24/7 — це бонус-перевага запропонованого рішення: він не замінює жодну обовʼязкову функцію, а підсилює її, перетворюючи статичний аналітичний інструмент на самонавчальний контур пошуку вразливостей.</w:t>
      </w:r>
    </w:p>
    <w:p/>
    <w:p>
      <w:r>
        <w:t>4.8.1. Призначення надбудови. Замість того щоб аналітик вручну перебирав простір станів, агенти працюють безперервно (24/7) і приносять людині вже відібране найперспективніше — не сирі дані, а короткий перелік гіпотез, готових до поглибленої доменної перевірки.</w:t>
      </w:r>
    </w:p>
    <w:p/>
    <w:p>
      <w:r>
        <w:t>4.8.2. Цикл контуру (наскрізний патерн надбудови):</w:t>
      </w:r>
    </w:p>
    <w:p>
      <w:pPr>
        <w:pStyle w:val="ListNumber"/>
      </w:pPr>
      <w:r>
        <w:t>Масова генерація — агенти автономно проганяють мільйони рандомізованих сценаріїв (патерни поведінки учасників, заявок і цінових рухів на РСВ/ВСР) цілодобово.</w:t>
      </w:r>
    </w:p>
    <w:p>
      <w:pPr>
        <w:pStyle w:val="ListNumber"/>
      </w:pPr>
      <w:r>
        <w:t>Накопичення Big Data — результати прогонів осідають у власному сховищі продукту (своя Big Data, не залежить від інших рішень).</w:t>
      </w:r>
    </w:p>
    <w:p>
      <w:pPr>
        <w:pStyle w:val="ListNumber"/>
      </w:pPr>
      <w:r>
        <w:t>Агентний аналіз — агенти шукають у масиві інсайти, аномалії та ознаки координованих дій, аномальних стратегій та цінових маніпуляцій.</w:t>
      </w:r>
    </w:p>
    <w:p>
      <w:pPr>
        <w:pStyle w:val="ListNumber"/>
      </w:pPr>
      <w:r>
        <w:t>Фільтр перспективності — агенти відсівають шум і ранжують знахідки, лишаючи лише найперспективніші/найкритичніші сценарії та гіпотези.</w:t>
      </w:r>
    </w:p>
    <w:p>
      <w:pPr>
        <w:pStyle w:val="ListNumber"/>
      </w:pPr>
      <w:r>
        <w:t>Передача людині вже відібраного — аналітик отримує 5 гіпотез замість 5 мільйонів: короткий, обґрунтований, пояснений перелік (а не сирий масив).</w:t>
      </w:r>
    </w:p>
    <w:p>
      <w:pPr>
        <w:pStyle w:val="ListNumber"/>
      </w:pPr>
      <w:r>
        <w:t>Поглиблена перевірка доменним експертом — аналітик ринку / комплаєнс-фахівець швидко верифікує/спростовує відібрані гіпотези (а не тоне в даних).</w:t>
      </w:r>
    </w:p>
    <w:p>
      <w:pPr>
        <w:pStyle w:val="ListNumber"/>
      </w:pPr>
      <w:r>
        <w:t>Зворотний звʼязок у цикл — підтверджені/спростовані гіпотези підтягують клон до фізики та уточнюють фільтр; контур повертається до кроку 1.</w:t>
      </w:r>
    </w:p>
    <w:p/>
    <w:p>
      <w:r>
        <w:t>4.8.3. Цінність для Замовника. Експерт не тоне в даних: машина 24/7 відсіює мусор і приносить керовану кількість перевірюваних гіпотез. Це двоїста віддача з одного процесу: (а) сам інструмент стає достовірнішим (підтяжка клона), (б) людина отримує прикладні інсайти під свою задачу.</w:t>
      </w:r>
    </w:p>
    <w:p/>
    <w:p>
      <w:r>
        <w:t>4.8.4. Вимоги до надбудови:</w:t>
      </w:r>
    </w:p>
    <w:p>
      <w:pPr>
        <w:pStyle w:val="ListBullet"/>
      </w:pPr>
      <w:r>
        <w:t>FR-AG.1. Контур працює автономно й безперервно; зупинка надбудови не впливає на обовʼязкові функції розділу 4.6.</w:t>
      </w:r>
    </w:p>
    <w:p>
      <w:pPr>
        <w:pStyle w:val="ListBullet"/>
      </w:pPr>
      <w:r>
        <w:t>FR-AG.2. Фільтр перспективності параметризований; критерії відбору налаштовуються й журналюються.</w:t>
      </w:r>
    </w:p>
    <w:p>
      <w:pPr>
        <w:pStyle w:val="ListBullet"/>
      </w:pPr>
      <w:r>
        <w:t>FR-AG.3. Кожна передана людині гіпотеза супроводжується поясненням українською та трасуванням до вихідних прогонів (відтворюваність).</w:t>
      </w:r>
    </w:p>
    <w:p>
      <w:pPr>
        <w:pStyle w:val="ListBullet"/>
      </w:pPr>
      <w:r>
        <w:t>FR-AG.4. Усі дії агентів і відбір підпорядковані RBAC та незмінному аудиту.</w:t>
      </w:r>
    </w:p>
    <w:p>
      <w:pPr>
        <w:pStyle w:val="ListBullet"/>
      </w:pPr>
      <w:r>
        <w:t>FR-AG.5. Надбудова не є умовою приймання MVP (розділ 6); вона приймається окремо як додаткова спроможність.</w:t>
      </w:r>
    </w:p>
    <w:p/>
    <w:p>
      <w:pPr>
        <w:pStyle w:val="Heading2"/>
      </w:pPr>
      <w:r>
        <w:t>5. СКЛАД І ЗМІСТ РОБІТ ЗІ СТВОРЕННЯ СИСТЕМИ</w:t>
      </w:r>
    </w:p>
    <w:p/>
    <w:p>
      <w:pPr>
        <w:pStyle w:val="Heading3"/>
      </w:pPr>
      <w:r>
        <w:t>Етап-1. MVP на синтетиці та відкритих даних (ДСК, без держтаємниці)</w:t>
      </w:r>
    </w:p>
    <w:p>
      <w:pPr>
        <w:pStyle w:val="ListBullet"/>
      </w:pPr>
      <w:r>
        <w:t>Розроблення архітектури Системи, внутрішнього агентного шару, ядра RBAC (row/column-level), моделі даних журналу (STOR) з розміткою data_origin.</w:t>
      </w:r>
    </w:p>
    <w:p>
      <w:pPr>
        <w:pStyle w:val="ListBullet"/>
      </w:pPr>
      <w:r>
        <w:t>Генерація синтетичного журналу заявок/угод із вшитими маніпулятивними патернами (testbed); підключення відкритих даних ENTSO-E.</w:t>
      </w:r>
    </w:p>
    <w:p>
      <w:pPr>
        <w:pStyle w:val="ListBullet"/>
      </w:pPr>
      <w:r>
        <w:t>Реалізація baseline «нормальної» поведінки і бібліотеки детекторів (цінові, order-based, графові).</w:t>
      </w:r>
    </w:p>
    <w:p>
      <w:pPr>
        <w:pStyle w:val="ListBullet"/>
      </w:pPr>
      <w:r>
        <w:t>Реалізація екранів 4.7.1–4.7.10 і кейс-менеджменту алертів.</w:t>
      </w:r>
    </w:p>
    <w:p>
      <w:pPr>
        <w:pStyle w:val="ListBullet"/>
      </w:pPr>
      <w:r>
        <w:t>Реалізація агента-бібліотекаря (NL→SQL) під RBAC; рейтинг ризику; авто-звіти/повідомлення.</w:t>
      </w:r>
    </w:p>
    <w:p>
      <w:pPr>
        <w:pStyle w:val="ListBullet"/>
      </w:pPr>
      <w:r>
        <w:t>Отримання baseline-метрик (перекриття патернів, false-positive rate, час до алерту); демонстрація наскрізного патерну.</w:t>
      </w:r>
    </w:p>
    <w:p>
      <w:pPr>
        <w:pStyle w:val="ListBullet"/>
      </w:pPr>
      <w:r>
        <w:t>Результат: працездатний автономний MVP у несекретному середовищі, baseline-показники, уточнене ТЗ на Етап-2.</w:t>
      </w:r>
    </w:p>
    <w:p/>
    <w:p>
      <w:pPr>
        <w:pStyle w:val="Heading3"/>
      </w:pPr>
      <w:r>
        <w:t>Етап-2. Повна система на реальних даних (NDA, «цілком таємно», КСЗІ)</w:t>
      </w:r>
    </w:p>
    <w:p>
      <w:pPr>
        <w:pStyle w:val="ListBullet"/>
      </w:pPr>
      <w:r>
        <w:t>Доменна деталізація детекторів і калібрування порогів/ваг на реальних даних РСВ/ВСР; персоніфікація учасників.</w:t>
      </w:r>
    </w:p>
    <w:p>
      <w:pPr>
        <w:pStyle w:val="ListBullet"/>
      </w:pPr>
      <w:r>
        <w:t>Підключення реальних мікроструктурних даних оператора ринку та внутрішніх даних під NDA на захищеному контурі.</w:t>
      </w:r>
    </w:p>
    <w:p>
      <w:pPr>
        <w:pStyle w:val="ListBullet"/>
      </w:pPr>
      <w:r>
        <w:t>Побудова та атестація КСЗІ за НД ТЗІ; впровадження грифу «цілком таємно».</w:t>
      </w:r>
    </w:p>
    <w:p>
      <w:pPr>
        <w:pStyle w:val="ListBullet"/>
      </w:pPr>
      <w:r>
        <w:t>Промислове впровадження, навчання користувачів трьох рівнів.</w:t>
      </w:r>
    </w:p>
    <w:p>
      <w:pPr>
        <w:pStyle w:val="ListBullet"/>
      </w:pPr>
      <w:r>
        <w:t>(Опціонально, окремо) інтеграція з A1/A3 через інтеграційний шар.</w:t>
      </w:r>
    </w:p>
    <w:p>
      <w:pPr>
        <w:pStyle w:val="ListBullet"/>
      </w:pPr>
      <w:r>
        <w:t>Результат: атестована промислова Система нагляду на реальних даних.</w:t>
      </w:r>
    </w:p>
    <w:p/>
    <w:p>
      <w:r>
        <w:t>Терміни кожного етапу визначаються календарним планом договору.</w:t>
      </w:r>
    </w:p>
    <w:p/>
    <w:p/>
    <w:p>
      <w:pPr>
        <w:pStyle w:val="Heading2"/>
      </w:pPr>
      <w:r>
        <w:t>6. ПОРЯДОК КОНТРОЛЮ ТА ПРИЙМАННЯ СИСТЕМИ</w:t>
      </w:r>
    </w:p>
    <w:p/>
    <w:p>
      <w:pPr>
        <w:pStyle w:val="ListBullet"/>
      </w:pPr>
      <w:r>
        <w:t>Види випробувань: попередні випробування, дослідна експлуатація, приймальні випробування — окремо для Етапу-1 і Етапу-2.</w:t>
      </w:r>
    </w:p>
    <w:p>
      <w:pPr>
        <w:pStyle w:val="ListBullet"/>
      </w:pPr>
      <w:r>
        <w:t>Етап-1 приймається на синтетичних/відкритих даних за baseline-метриками (2.3) у несекретному середовищі. Обов'язкові перевірки приймання MVP:</w:t>
      </w:r>
    </w:p>
    <w:p>
      <w:r>
        <w:t xml:space="preserve">  - екрани 4.7.1–4.7.10 працюють без жодного входу під грифом;</w:t>
      </w:r>
    </w:p>
    <w:p>
      <w:r>
        <w:t xml:space="preserve">  - детектори виявляють вшиті в синтетику маніпулятивні патерни кожного класу таксономії (4.6) із прийнятним false-positive rate;</w:t>
      </w:r>
    </w:p>
    <w:p>
      <w:r>
        <w:t xml:space="preserve">  - кожен алерт має міру впевненості, ознаки-тригери, drill-down до сирих даних і дисклеймер И-4;</w:t>
      </w:r>
    </w:p>
    <w:p>
      <w:r>
        <w:t xml:space="preserve">  - рейтинг ризику інтерпретований і узгоджений з алертами учасника;</w:t>
      </w:r>
    </w:p>
    <w:p>
      <w:r>
        <w:t xml:space="preserve">  - кожен запит агента-бібліотекаря підпорядкований RBAC (row/column-level), усе логується;</w:t>
      </w:r>
    </w:p>
    <w:p>
      <w:r>
        <w:t xml:space="preserve">  - усі дані/результати несуть data_origin; деградований режим коректно маркується;</w:t>
      </w:r>
    </w:p>
    <w:p>
      <w:r>
        <w:t xml:space="preserve">  - жоден остаточний поріг/вага Етапу-2 не «зашитий» як кінцевий.</w:t>
      </w:r>
    </w:p>
    <w:p>
      <w:pPr>
        <w:pStyle w:val="ListBullet"/>
      </w:pPr>
      <w:r>
        <w:t>Етап-2 приймається на реальних даних у складі атестованого КСЗІ-контуру; обов'язкова умова — позитивний висновок атестації КСЗІ та підтвердження відповідності НД ТЗІ.</w:t>
      </w:r>
    </w:p>
    <w:p>
      <w:pPr>
        <w:pStyle w:val="ListBullet"/>
      </w:pPr>
      <w:r>
        <w:t>Випробування — за погодженою Замовником програмою та методиками; перевіряються функції детекторів, агентний шар, інваріант RBAC, надійність і безпека.</w:t>
      </w:r>
    </w:p>
    <w:p>
      <w:pPr>
        <w:pStyle w:val="ListBullet"/>
      </w:pPr>
      <w:r>
        <w:t>Приймання здійснює приймальна комісія Замовника з оформленням акта.</w:t>
      </w:r>
    </w:p>
    <w:p/>
    <w:p/>
    <w:p>
      <w:pPr>
        <w:pStyle w:val="Heading2"/>
      </w:pPr>
      <w:r>
        <w:t>7. ВИМОГИ ДО ПІДГОТОВКИ ОБ'ЄКТА АВТОМАТИЗАЦІЇ</w:t>
      </w:r>
    </w:p>
    <w:p/>
    <w:p>
      <w:pPr>
        <w:pStyle w:val="ListBullet"/>
      </w:pPr>
      <w:r>
        <w:t>Надання даних: Етап-1 — погодження доступу до ENTSO-E та параметрів синтетичного testbed; Етап-2 — реальні дані РСВ/ВСР оператора ринку та внутрішні дані під NDA.</w:t>
      </w:r>
    </w:p>
    <w:p>
      <w:pPr>
        <w:pStyle w:val="ListBullet"/>
      </w:pPr>
      <w:r>
        <w:t>Підготовка обчислювального середовища: Етап-1 — несекретний контур; Етап-2 — захищений/ізольований контур під КСЗІ.</w:t>
      </w:r>
    </w:p>
    <w:p>
      <w:pPr>
        <w:pStyle w:val="ListBullet"/>
      </w:pPr>
      <w:r>
        <w:t>Організаційні заходи: призначення відповідальних служби нагляду; оформлення допусків (окремий допуск на A2); затвердження рольової моделі RBAC і таксономії патернів.</w:t>
      </w:r>
    </w:p>
    <w:p>
      <w:pPr>
        <w:pStyle w:val="ListBullet"/>
      </w:pPr>
      <w:r>
        <w:t>Підготовка персоналу трьох рівнів користувачів до експлуатації.</w:t>
      </w:r>
    </w:p>
    <w:p/>
    <w:p/>
    <w:p>
      <w:pPr>
        <w:pStyle w:val="Heading2"/>
      </w:pPr>
      <w:r>
        <w:t>8. ВИМОГИ ДО ДОКУМЕНТУВАННЯ</w:t>
      </w:r>
    </w:p>
    <w:p/>
    <w:p>
      <w:r>
        <w:t>Документація розробляється українською мовою відповідно до ГОСТ 34 (комплект РД на АС):</w:t>
      </w:r>
    </w:p>
    <w:p>
      <w:pPr>
        <w:pStyle w:val="ListBullet"/>
      </w:pPr>
      <w:r>
        <w:t>це технічне завдання;</w:t>
      </w:r>
    </w:p>
    <w:p>
      <w:pPr>
        <w:pStyle w:val="ListBullet"/>
      </w:pPr>
      <w:r>
        <w:t>ескізний/технічний проєкт, пояснювальна записка, опис архітектури та внутрішнього агентного шару;</w:t>
      </w:r>
    </w:p>
    <w:p>
      <w:pPr>
        <w:pStyle w:val="ListBullet"/>
      </w:pPr>
      <w:r>
        <w:t>опис моделі даних журналу (STOR), таксономії патернів і рольової моделі RBAC;</w:t>
      </w:r>
    </w:p>
    <w:p>
      <w:pPr>
        <w:pStyle w:val="ListBullet"/>
      </w:pPr>
      <w:r>
        <w:t>опис бібліотеки детекторів і методики їх калібрування/верифікації;</w:t>
      </w:r>
    </w:p>
    <w:p>
      <w:pPr>
        <w:pStyle w:val="ListBullet"/>
      </w:pPr>
      <w:r>
        <w:t>програма та методики випробувань, протоколи й акти;</w:t>
      </w:r>
    </w:p>
    <w:p>
      <w:pPr>
        <w:pStyle w:val="ListBullet"/>
      </w:pPr>
      <w:r>
        <w:t>керівництва користувача для трьох рівнів, керівництво адміністратора;</w:t>
      </w:r>
    </w:p>
    <w:p>
      <w:pPr>
        <w:pStyle w:val="ListBullet"/>
      </w:pPr>
      <w:r>
        <w:t>документація з безпеки: проєкт КСЗІ, матеріали атестації, відповідність НД ТЗІ (Етап-2);</w:t>
      </w:r>
    </w:p>
    <w:p>
      <w:pPr>
        <w:pStyle w:val="ListBullet"/>
      </w:pPr>
      <w:r>
        <w:t>доменний додаток із порогами/вагами/формулами Етапу-2 (під відповідним грифом).</w:t>
      </w:r>
    </w:p>
    <w:p/>
    <w:p>
      <w:r>
        <w:t>Документи з грифом «цілком таємно» (Етап-2) оформлюються та зберігаються згідно з режимними вимогами.</w:t>
      </w:r>
    </w:p>
    <w:p/>
    <w:p/>
    <w:p>
      <w:pPr>
        <w:pStyle w:val="Heading2"/>
      </w:pPr>
      <w:r>
        <w:t>9. ДЖЕРЕЛА РОЗРОБКИ</w:t>
      </w:r>
    </w:p>
    <w:p/>
    <w:p>
      <w:pPr>
        <w:pStyle w:val="ListBullet"/>
      </w:pPr>
      <w:r>
        <w:t>ДСТУ ГОСТ 34.602 та комплекс стандартів ГОСТ 34 на АС;</w:t>
      </w:r>
    </w:p>
    <w:p>
      <w:pPr>
        <w:pStyle w:val="ListBullet"/>
      </w:pPr>
      <w:r>
        <w:t>Закон України «Про ринок електричної енергії»; Правила РСВ і ВСР; Кодекс комерційного обліку; нормативні акти НКРЕКП щодо моніторингу оптового ринку;</w:t>
      </w:r>
    </w:p>
    <w:p>
      <w:pPr>
        <w:pStyle w:val="ListBullet"/>
      </w:pPr>
      <w:r>
        <w:t>REMIT (EU) No 1227/2011 та керівні документи ACER/ENTSO-E (методологічний орієнтир таксономії зловживання);</w:t>
      </w:r>
    </w:p>
    <w:p>
      <w:pPr>
        <w:pStyle w:val="ListBullet"/>
      </w:pPr>
      <w:r>
        <w:t>Закон України «Про державну таємницю»; Звід відомостей, що становлять державну таємницю (ЗВДТ);</w:t>
      </w:r>
    </w:p>
    <w:p>
      <w:pPr>
        <w:pStyle w:val="ListBullet"/>
      </w:pPr>
      <w:r>
        <w:t>нормативні документи системи технічного захисту інформації (НД ТЗІ); вимоги до КСЗІ;</w:t>
      </w:r>
    </w:p>
    <w:p>
      <w:pPr>
        <w:pStyle w:val="ListBullet"/>
      </w:pPr>
      <w:r>
        <w:t>документи ENTSO-E (Transparency Platform як джерело відкритих даних Етапу-1);</w:t>
      </w:r>
    </w:p>
    <w:p>
      <w:pPr>
        <w:pStyle w:val="ListBullet"/>
      </w:pPr>
      <w:r>
        <w:t>внутрішні регламенти служби нагляду та дані оператора ринку (Етап-2, NDA);</w:t>
      </w:r>
    </w:p>
    <w:p>
      <w:pPr>
        <w:pStyle w:val="ListBullet"/>
      </w:pPr>
      <w:r>
        <w:t>окреме рамкове ТЗ інтеграційного шару (шина подій) — для опціональної інтеграції з A1/A3;</w:t>
      </w:r>
    </w:p>
    <w:p>
      <w:pPr>
        <w:pStyle w:val="ListBullet"/>
      </w:pPr>
      <w:r>
        <w:t>функціональний орієнтир класу систем ринкового нагляду (Nasdaq SMARTS) як аналог рішення.</w:t>
      </w:r>
    </w:p>
    <w:p/>
    <w:p>
      <w:r>
        <w:t>*Відомості про виконавців, погодження та затвердження оформлюються на окремому аркуші згідно з ДСТУ 4163:2020.*</w:t>
      </w:r>
    </w:p>
    <w:p>
      <w:r>
        <w:br w:type="page"/>
      </w:r>
    </w:p>
    <w:p>
      <w:pPr>
        <w:jc w:val="left"/>
      </w:pPr>
      <w:r>
        <w:rPr>
          <w:b/>
        </w:rPr>
        <w:t>Відомості про виконавців:</w:t>
      </w:r>
    </w:p>
    <w:p>
      <w:r>
        <w:rPr>
          <w:sz w:val="18"/>
        </w:rPr>
        <w:t>____________________  (Прізвище І. П.)</w:t>
        <w:br/>
        <w:t>тел. (___) ___-__-__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