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«Прогнозування технологічних втрат та закупівельної потреби ОЕС України»</w:t>
      </w:r>
    </w:p>
    <w:p>
      <w:pPr>
        <w:jc w:val="center"/>
      </w:pPr>
      <w:r>
        <w:rPr>
          <w:b w:val="0"/>
          <w:sz w:val="24"/>
        </w:rPr>
        <w:t>(АС А3)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ТЕХНІЧНЕ ЗАВДАННЯ</w:t>
        <w:br/>
        <w:t>на створення системи (самостійний продукт)</w:t>
      </w:r>
    </w:p>
    <w:p/>
    <w:p/>
    <w:p>
      <w:pPr>
        <w:jc w:val="center"/>
      </w:pPr>
      <w:r>
        <w:rPr>
          <w:sz w:val="22"/>
        </w:rPr>
        <w:t>Позначення документа: UE-A3.ТЗ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ТЕХНІЧНЕ ЗАВДАННЯ</w:t>
      </w:r>
    </w:p>
    <w:p>
      <w:pPr>
        <w:pStyle w:val="Heading2"/>
      </w:pPr>
      <w:r>
        <w:t>на створення автоматизованої системи «Прогнозування технологічних втрат та закупівельної потреби» (АС «Прогноз втрат»)</w:t>
      </w:r>
    </w:p>
    <w:p/>
    <w:p>
      <w:r>
        <w:t>Позначення документа: UE-A3.ТЗ</w:t>
      </w:r>
    </w:p>
    <w:p>
      <w:r>
        <w:t>Редакція: 1.0</w:t>
      </w:r>
    </w:p>
    <w:p>
      <w:r>
        <w:t>Розроблено відповідно до ДСТУ ГОСТ 34.602.</w:t>
      </w:r>
    </w:p>
    <w:p/>
    <w:p>
      <w:r>
        <w:t>Гриф обмеження доступу: для Етапу-1 (MVP на синтетичних та відкритих даних) — «Для службового користування» (ДСК); для Етапу-2 (повна система на реальних даних ОЕС) — до «Цілком таємно» згідно з ЗУ «Про державну таємницю» та ЗВДТ, у захищеному контурі з КСЗІ.</w:t>
      </w:r>
    </w:p>
    <w:p/>
    <w:p>
      <w:r>
        <w:t>Київ, 2026</w:t>
      </w:r>
    </w:p>
    <w:p/>
    <w:p/>
    <w:p>
      <w:pPr>
        <w:pStyle w:val="Heading2"/>
      </w:pPr>
      <w:r>
        <w:t>ПЕРЕЛІК УМОВНИХ ПОЗНАЧЕНЬ І СКОРОЧЕНЬ</w:t>
      </w:r>
    </w:p>
    <w:p/>
    <w:p>
      <w:pPr>
        <w:pStyle w:val="ListBullet"/>
      </w:pPr>
      <w:r>
        <w:t>АС — автоматизована система</w:t>
      </w:r>
    </w:p>
    <w:p>
      <w:pPr>
        <w:pStyle w:val="ListBullet"/>
      </w:pPr>
      <w:r>
        <w:t>ОЕС — Об'єднана енергосистема України</w:t>
      </w:r>
    </w:p>
    <w:p>
      <w:pPr>
        <w:pStyle w:val="ListBullet"/>
      </w:pPr>
      <w:r>
        <w:t>TSO — оператор системи передачі (НЕК «Укренерго»)</w:t>
      </w:r>
    </w:p>
    <w:p>
      <w:pPr>
        <w:pStyle w:val="ListBullet"/>
      </w:pPr>
      <w:r>
        <w:t>ТЗ — технічне завдання</w:t>
      </w:r>
    </w:p>
    <w:p>
      <w:pPr>
        <w:pStyle w:val="ListBullet"/>
      </w:pPr>
      <w:r>
        <w:t>РСВ — ринок на добу наперед</w:t>
      </w:r>
    </w:p>
    <w:p>
      <w:pPr>
        <w:pStyle w:val="ListBullet"/>
      </w:pPr>
      <w:r>
        <w:t>ВСР — внутрішньодобовий ринок</w:t>
      </w:r>
    </w:p>
    <w:p>
      <w:pPr>
        <w:pStyle w:val="ListBullet"/>
      </w:pPr>
      <w:r>
        <w:t>БР — балансуючий ринок</w:t>
      </w:r>
    </w:p>
    <w:p>
      <w:pPr>
        <w:pStyle w:val="ListBullet"/>
      </w:pPr>
      <w:r>
        <w:t>КСЗІ — комплексна система захисту інформації</w:t>
      </w:r>
    </w:p>
    <w:p>
      <w:pPr>
        <w:pStyle w:val="ListBullet"/>
      </w:pPr>
      <w:r>
        <w:t>НД ТЗІ — нормативний документ системи технічного захисту інформації</w:t>
      </w:r>
    </w:p>
    <w:p>
      <w:pPr>
        <w:pStyle w:val="ListBullet"/>
      </w:pPr>
      <w:r>
        <w:t>ДСК — для службового користування</w:t>
      </w:r>
    </w:p>
    <w:p>
      <w:pPr>
        <w:pStyle w:val="ListBullet"/>
      </w:pPr>
      <w:r>
        <w:t>RBAC — рольова модель розмежування доступу (row/column-level)</w:t>
      </w:r>
    </w:p>
    <w:p>
      <w:pPr>
        <w:pStyle w:val="ListBullet"/>
      </w:pPr>
      <w:r>
        <w:t>NL→SQL — перетворення запиту природною мовою на SQL-запит</w:t>
      </w:r>
    </w:p>
    <w:p>
      <w:pPr>
        <w:pStyle w:val="ListBullet"/>
      </w:pPr>
      <w:r>
        <w:t>MAPE / MAE — середня абсолютна відсоткова / абсолютна похибка прогнозу</w:t>
      </w:r>
    </w:p>
    <w:p>
      <w:pPr>
        <w:pStyle w:val="ListBullet"/>
      </w:pPr>
      <w:r>
        <w:t>I²R — навантажувальні втрати в активному опорі</w:t>
      </w:r>
    </w:p>
    <w:p>
      <w:pPr>
        <w:pStyle w:val="ListBullet"/>
      </w:pPr>
      <w:r>
        <w:t>PINN — physics-informed neural network (нейромережа, узгоджена з фізикою)</w:t>
      </w:r>
    </w:p>
    <w:p>
      <w:pPr>
        <w:pStyle w:val="ListBullet"/>
      </w:pPr>
      <w:r>
        <w:t>MVP — мінімально життєздатний продукт (Етап-1)</w:t>
      </w:r>
    </w:p>
    <w:p>
      <w:pPr>
        <w:pStyle w:val="ListBullet"/>
      </w:pPr>
      <w:r>
        <w:t>data_origin — маркування походження даних (SYNTHETIC / OPEN_DATA / NDA_CALIBRATED)</w:t>
      </w:r>
    </w:p>
    <w:p/>
    <w:p>
      <w:pPr>
        <w:pStyle w:val="Heading2"/>
      </w:pPr>
      <w:r>
        <w:t>ПЕРЕЛІК НОРМАТИВНИХ ПОСИЛАНЬ</w:t>
      </w:r>
    </w:p>
    <w:p/>
    <w:p>
      <w:r>
        <w:t>У цьому технічному завданні використано посилання на такі нормативні документи:</w:t>
      </w:r>
    </w:p>
    <w:p/>
    <w:p>
      <w:pPr>
        <w:pStyle w:val="ListBullet"/>
      </w:pPr>
      <w:r>
        <w:t>ГОСТ 34.602-89. Технічне завдання на створення автоматизованої системи (застосовується як галузевий стандарт оформлення ТЗ на АС);</w:t>
      </w:r>
    </w:p>
    <w:p>
      <w:pPr>
        <w:pStyle w:val="ListBullet"/>
      </w:pPr>
      <w:r>
        <w:t>ГОСТ 34.601-90. Автоматизовані системи. Стадії створення;</w:t>
      </w:r>
    </w:p>
    <w:p>
      <w:pPr>
        <w:pStyle w:val="ListBullet"/>
      </w:pPr>
      <w:r>
        <w:t>ГОСТ 34.201-89. Види, комплектність і позначення документів при створенні автоматизованих систем;</w:t>
      </w:r>
    </w:p>
    <w:p>
      <w:pPr>
        <w:pStyle w:val="ListBullet"/>
      </w:pPr>
      <w:r>
        <w:t>ГОСТ 34.003-90. Інформаційна технологія. Автоматизовані системи. Терміни та визначення;</w:t>
      </w:r>
    </w:p>
    <w:p>
      <w:pPr>
        <w:pStyle w:val="ListBullet"/>
      </w:pPr>
      <w:r>
        <w:t>ДСТУ ГОСТ 2.105. Загальні вимоги до текстових документів;</w:t>
      </w:r>
    </w:p>
    <w:p>
      <w:pPr>
        <w:pStyle w:val="ListBullet"/>
      </w:pPr>
      <w:r>
        <w:t>ДСТУ 4163:2020. Уніфікована система організаційно-розпорядчої документації. Вимоги до оформлення документів;</w:t>
      </w:r>
    </w:p>
    <w:p>
      <w:pPr>
        <w:pStyle w:val="ListBullet"/>
      </w:pPr>
      <w:r>
        <w:t>ДСТУ ISO/IEC 12207:2014. Інженерія систем і програмного забезпечення. Процеси життєвого циклу програмного забезпечення;</w:t>
      </w:r>
    </w:p>
    <w:p>
      <w:pPr>
        <w:pStyle w:val="ListBullet"/>
      </w:pPr>
      <w:r>
        <w:t>НД ТЗІ 1.1-002-99. Загальні положення щодо захисту інформації в комп'ютерних системах від несанкціонованого доступу;</w:t>
      </w:r>
    </w:p>
    <w:p>
      <w:pPr>
        <w:pStyle w:val="ListBullet"/>
      </w:pPr>
      <w:r>
        <w:t>НД ТЗІ 2.5-004-99. Критерії оцінки захищеності інформації у комп'ютерних системах від несанкціонованого доступу;</w:t>
      </w:r>
    </w:p>
    <w:p>
      <w:pPr>
        <w:pStyle w:val="ListBullet"/>
      </w:pPr>
      <w:r>
        <w:t>НД ТЗІ 2.5-005-99. Класифікація автоматизованих систем і стандартні функціональні профілі захищеності;</w:t>
      </w:r>
    </w:p>
    <w:p>
      <w:pPr>
        <w:pStyle w:val="ListBullet"/>
      </w:pPr>
      <w:r>
        <w:t>НД ТЗІ 3.7-001-99. Методичні вказівки щодо розробки ТЗ на створення КСЗІ в автоматизованій системі;</w:t>
      </w:r>
    </w:p>
    <w:p>
      <w:pPr>
        <w:pStyle w:val="ListBullet"/>
      </w:pPr>
      <w:r>
        <w:t>НД ТЗІ 3.7-003-05. Порядок проведення робіт із створення КСЗІ в інформаційно-телекомунікаційній системі;</w:t>
      </w:r>
    </w:p>
    <w:p>
      <w:pPr>
        <w:pStyle w:val="ListBullet"/>
      </w:pPr>
      <w:r>
        <w:t>ДСТУ 3396.0-96. Захист інформації. Технічний захист інформації. Основні положення;</w:t>
      </w:r>
    </w:p>
    <w:p>
      <w:pPr>
        <w:pStyle w:val="ListBullet"/>
      </w:pPr>
      <w:r>
        <w:t>ДСТУ 3396.1-96. Захист інформації. Технічний захист інформації. Порядок проведення робіт.</w:t>
      </w:r>
    </w:p>
    <w:p/>
    <w:p/>
    <w:p>
      <w:pPr>
        <w:pStyle w:val="Heading2"/>
      </w:pPr>
      <w:r>
        <w:t>1. ЗАГАЛЬНІ ВІДОМОСТІ</w:t>
      </w:r>
    </w:p>
    <w:p/>
    <w:p>
      <w:pPr>
        <w:pStyle w:val="Heading3"/>
      </w:pPr>
      <w:r>
        <w:t>1.1. Найменування системи</w:t>
      </w:r>
    </w:p>
    <w:p/>
    <w:p>
      <w:r>
        <w:t>Повне найменування: Автоматизована система прогнозування технологічних втрат магістральної мережі та планування закупівельної потреби на їх компенсацію.</w:t>
      </w:r>
    </w:p>
    <w:p>
      <w:r>
        <w:t>Скорочене найменування: АС «Прогноз втрат» (далі — Система).</w:t>
      </w:r>
    </w:p>
    <w:p/>
    <w:p>
      <w:pPr>
        <w:pStyle w:val="Heading3"/>
      </w:pPr>
      <w:r>
        <w:t>1.2. Статус продукту (засаднича вимога)</w:t>
      </w:r>
    </w:p>
    <w:p/>
    <w:p>
      <w:r>
        <w:t>АС «Прогноз втрат» — самостійний програмний продукт. Він постачається окремо, як окремий проєкт з власним ТЗ, окремим бюджетом і окремим додатковим договором. Передбачається повна передача продукту Замовнику без технологічної залежності від розробника та з правом експлуатації без зобов'язань розробника щодо подальшого супроводу (модель передачі — разова, авторські права лишаються за розробником).</w:t>
      </w:r>
    </w:p>
    <w:p/>
    <w:p>
      <w:r>
        <w:t>Система є повноцінною та працездатною самостійно, без жодних інших рішень розробника. Інтеграція з іншими аналітичними рішеннями (зокрема з системою фізичного моделювання мережі та системою нагляду за ринком) є опціональною і реалізується через окремий інтеграційний шар, що описується окремим рамковим ТЗ інтеграційного шару. Відсутність такої інтеграції не блокує жодної базової функції Системи; за її наявності Система лише підвищує достовірність вхідних даних (див. §4.7).</w:t>
      </w:r>
    </w:p>
    <w:p/>
    <w:p>
      <w:r>
        <w:t>База продукту. Система розвивається на основі моделей прогнозування технологічних втрат, відпрацьованих для операторів систем розподілу (облєнерго), та адаптується під магістральну (системотвірну) мережу TSO напругою 750/330 кВ. Це робить рішення найбільш готовим з лінійки та знижує ризики Етапу-1.</w:t>
      </w:r>
    </w:p>
    <w:p/>
    <w:p>
      <w:pPr>
        <w:pStyle w:val="Heading3"/>
      </w:pPr>
      <w:r>
        <w:t>1.3. Шифр теми</w:t>
      </w:r>
    </w:p>
    <w:p/>
    <w:p>
      <w:r>
        <w:t>Встановлюється договором/додатковим договором на створення Системи.</w:t>
      </w:r>
    </w:p>
    <w:p/>
    <w:p>
      <w:pPr>
        <w:pStyle w:val="Heading3"/>
      </w:pPr>
      <w:r>
        <w:t>1.4. Замовник та виконавець</w:t>
      </w:r>
    </w:p>
    <w:p/>
    <w:p>
      <w:r>
        <w:t>Замовник: Національна енергетична компанія «Укренерго» (НЕК «Укренерго») — оператор системи передачі електричної енергії, диспетчерський (системний) оператор ОЕС України.</w:t>
      </w:r>
    </w:p>
    <w:p>
      <w:r>
        <w:t>Виконавець: визначається за результатами процедури закупівлі/конкурсу.</w:t>
      </w:r>
    </w:p>
    <w:p/>
    <w:p>
      <w:pPr>
        <w:pStyle w:val="Heading3"/>
      </w:pPr>
      <w:r>
        <w:t>1.5. Підстава для розроблення</w:t>
      </w:r>
    </w:p>
    <w:p/>
    <w:p>
      <w:r>
        <w:t>Підставою для розроблення є:</w:t>
      </w:r>
    </w:p>
    <w:p>
      <w:pPr>
        <w:pStyle w:val="ListBullet"/>
      </w:pPr>
      <w:r>
        <w:t>рішення Замовника про створення системи прогнозування технологічних втрат і підтримки закупівельної діяльності;</w:t>
      </w:r>
    </w:p>
    <w:p>
      <w:pPr>
        <w:pStyle w:val="ListBullet"/>
      </w:pPr>
      <w:r>
        <w:t>завдання забезпечення економічної безпеки функціонування ОЕС — підвищення точності прогнозу технологічних втрат магістральної мережі та оптимізації обсягів і вартості закупівель на їх компенсацію;</w:t>
      </w:r>
    </w:p>
    <w:p>
      <w:pPr>
        <w:pStyle w:val="ListBullet"/>
      </w:pPr>
      <w:r>
        <w:t>зобов'язання з інтеграції ОЕС України до ENTSO-E та вимоги до прозорості ринку електроенергії.</w:t>
      </w:r>
    </w:p>
    <w:p/>
    <w:p>
      <w:r>
        <w:t>Конкретні реквізити підстави (наказ, протокол, додатковий договір) зазначаються у картці теми.</w:t>
      </w:r>
    </w:p>
    <w:p/>
    <w:p>
      <w:pPr>
        <w:pStyle w:val="Heading3"/>
      </w:pPr>
      <w:r>
        <w:t>1.6. Планові терміни початку і закінчення робіт</w:t>
      </w:r>
    </w:p>
    <w:p/>
    <w:p>
      <w:r>
        <w:t>Визначаються календарним планом (розділ 5). Роботи виконуються у два етапи: Етап-1 (MVP) та Етап-2 (повна система).</w:t>
      </w:r>
    </w:p>
    <w:p/>
    <w:p>
      <w:pPr>
        <w:pStyle w:val="Heading3"/>
      </w:pPr>
      <w:r>
        <w:t>1.7. Червоні лінії (інваріанти, що діють на всю Систему)</w:t>
      </w:r>
    </w:p>
    <w:p/>
    <w:p>
      <w:pPr>
        <w:pStyle w:val="ListNumber"/>
      </w:pPr>
      <w:r>
        <w:t>Гриф і режим даних за етапами. Етап-1 (MVP) = синтетика + відкриті дані (ENTSO-E, відкрите метео) без державної таємниці, гриф ДСК. Етап-2 (повна система) = реальні дані ОЕС під NDA, гриф до «цілком таємно», обробка у захищеному контурі з КСЗІ. Жодна фіча MVP не повинна потребувати даних під грифом; якщо фіча не демонструється на відкритих + синтетичних даних — вона за визначенням належить Етапу-2.</w:t>
      </w:r>
    </w:p>
    <w:p>
      <w:pPr>
        <w:pStyle w:val="ListNumber"/>
      </w:pPr>
      <w:r>
        <w:t>RBAC — це ДНК, а не функція. Розмежування доступу закладене в модель даних, у кожен прогнозний зріз і в кожен запит до агента-бібліотекаря на рівні рядків і стовпців (row/column-level), а не «зверху» окремим екраном. Жоден екран Системи не існує поза рольовою моделлю. RBAC є власним для цього продукту: окремий допуск саме до АС «Прогноз втрат» (доступ до інших рішень не надає й не передбачає доступу до цієї Системи).</w:t>
      </w:r>
    </w:p>
    <w:p>
      <w:pPr>
        <w:pStyle w:val="ListNumber"/>
      </w:pPr>
      <w:r>
        <w:t>Двосторонність (щит = меч). Будь-яка аналітична спроможність Системи (виявлення аномальних втрат, реконструкція режиму, оцінка вузьких місць) є одночасно і діагностичним щитом, і потенційним мечем; це фіксується в моделі загроз і в обмеженнях експорту.</w:t>
      </w:r>
    </w:p>
    <w:p>
      <w:pPr>
        <w:pStyle w:val="ListNumber"/>
      </w:pPr>
      <w:r>
        <w:t>data_origin. Кожен запис і кожен зріз даних маркується походженням — `SYNTHETIC`, `OPEN_DATA` або `NDA_CALIBRATED`; маркування є частиною схеми даних і відображається в UI та експортах.</w:t>
      </w:r>
    </w:p>
    <w:p>
      <w:pPr>
        <w:pStyle w:val="ListNumber"/>
      </w:pPr>
      <w:r>
        <w:t>Українська мова. Мова продукту (UI, звіти, повідомлення агентів) та мова документа — українська.</w:t>
      </w:r>
    </w:p>
    <w:p>
      <w:pPr>
        <w:pStyle w:val="ListNumber"/>
      </w:pPr>
      <w:r>
        <w:t>Фізика (формули) — зона доменної деталізації Етапу-2. У цьому ТЗ формули для повної системи не вигадуються; фіксується ЩО Система робить і вимоги до результату. Конкретні рівняння (PINN / AC load-flow) визначаються доменними фахівцями НЕК на Етапі-2 й фіксуються в окремому доменному додатку під відповідним грифом.</w:t>
      </w:r>
    </w:p>
    <w:p/>
    <w:p/>
    <w:p>
      <w:pPr>
        <w:pStyle w:val="Heading2"/>
      </w:pPr>
      <w:r>
        <w:t>2. ПРИЗНАЧЕННЯ ТА ЦІЛІ СТВОРЕННЯ СИСТЕМИ</w:t>
      </w:r>
    </w:p>
    <w:p/>
    <w:p>
      <w:pPr>
        <w:pStyle w:val="Heading3"/>
      </w:pPr>
      <w:r>
        <w:t>2.1. Призначення</w:t>
      </w:r>
    </w:p>
    <w:p/>
    <w:p>
      <w:r>
        <w:t>Система призначена для прогнозування обсягу технологічних втрат у магістральній мережі ОЕС напругою 750/330 кВ на горизонті 1–7 діб у розрізі рівнів напруги та фізичних драйверів втрат, перетворення прогнозу на потребу в закупівлі електроенергії на компенсацію та оцінювання сценаріїв цієї закупівлі за критеріями ризику небалансу і штрафів.</w:t>
      </w:r>
    </w:p>
    <w:p/>
    <w:p>
      <w:r>
        <w:t>Система не є симулятором оптового ринку. Її ядро — прогнозний контур технологічних втрат і підтримка планування закупівлі; ринкова (цінова) складова є опційним розширенням (див. §4.6) і не змінює ядра.</w:t>
      </w:r>
    </w:p>
    <w:p/>
    <w:p>
      <w:pPr>
        <w:pStyle w:val="Heading3"/>
      </w:pPr>
      <w:r>
        <w:t>2.2. Наскрізний прикладний патерн (агентний — всередині продукту)</w:t>
      </w:r>
    </w:p>
    <w:p/>
    <w:p>
      <w:r>
        <w:t>Агентний контур реалізовано всередині самої Системи (а не як зовнішню сутність порталу). У Системі відтворюється патерн:</w:t>
      </w:r>
    </w:p>
    <w:p/>
    <w:p>
      <w:pPr>
        <w:ind w:left="454"/>
      </w:pPr>
      <w:r>
        <w:rPr>
          <w:i/>
        </w:rPr>
        <w:t>мільйони сценаріїв режимів/метео → накопичення Big Data → агенти видають дві віддачі (1) підтяжка цифрового клона/моделі до фізики через порівняння «прогноз vs факт»; (2) прикладні інсайти — атрибуція драйверів і рекомендації щодо закупівлі → людина-аналітик працює через агента-бібліотекаря (NL→SQL, графіки, пояснення).</w:t>
      </w:r>
    </w:p>
    <w:p/>
    <w:p>
      <w:pPr>
        <w:pStyle w:val="Heading3"/>
      </w:pPr>
      <w:r>
        <w:t>2.3. Цілі створення</w:t>
      </w:r>
    </w:p>
    <w:p/>
    <w:p>
      <w:pPr>
        <w:pStyle w:val="ListBullet"/>
      </w:pPr>
      <w:r>
        <w:t>підвищення точності прогнозу технологічних втрат магістральної мережі;</w:t>
      </w:r>
    </w:p>
    <w:p>
      <w:pPr>
        <w:pStyle w:val="ListBullet"/>
      </w:pPr>
      <w:r>
        <w:t>зниження економічних ризиків через оптимізацію обсягів і вартості закупівлі на компенсацію втрат;</w:t>
      </w:r>
    </w:p>
    <w:p>
      <w:pPr>
        <w:pStyle w:val="ListBullet"/>
      </w:pPr>
      <w:r>
        <w:t>забезпечення прозорого пояснення прогнозу (декомпозиція за драйверами) для аналітика та керівництва;</w:t>
      </w:r>
    </w:p>
    <w:p>
      <w:pPr>
        <w:pStyle w:val="ListBullet"/>
      </w:pPr>
      <w:r>
        <w:t>замикання циклу якості «прогноз → факт → перенавчання».</w:t>
      </w:r>
    </w:p>
    <w:p/>
    <w:p>
      <w:pPr>
        <w:pStyle w:val="Heading3"/>
      </w:pPr>
      <w:r>
        <w:t>2.4. Критерії досягнення цілей</w:t>
      </w:r>
    </w:p>
    <w:p/>
    <w:p>
      <w:r>
        <w:t>Кількісні цільові показники (MAPE по горизонтах, частка пояснених відхилень, час інтерактивного перерахунку сценаріїв) встановлюються на Етапі-1 за синтетичними/відкритими даними як baseline і уточнюються на Етапі-2 на реальних даних. Конкретні значення фіксуються у програмі та методиках випробувань (розділ 6).</w:t>
      </w:r>
    </w:p>
    <w:p/>
    <w:p/>
    <w:p>
      <w:pPr>
        <w:pStyle w:val="Heading2"/>
      </w:pPr>
      <w:r>
        <w:t>3. ХАРАКТЕРИСТИКА ОБ'ЄКТІВ АВТОМАТИЗАЦІЇ</w:t>
      </w:r>
    </w:p>
    <w:p/>
    <w:p>
      <w:pPr>
        <w:pStyle w:val="Heading3"/>
      </w:pPr>
      <w:r>
        <w:t>3.1. Об'єкти автоматизації</w:t>
      </w:r>
    </w:p>
    <w:p/>
    <w:p>
      <w:pPr>
        <w:pStyle w:val="ListBullet"/>
      </w:pPr>
      <w:r>
        <w:t>Магістральна (системотвірна) електрична мережа ОЕС України — лінії та підстанції класів напруги 750 кВ та 330 кВ.</w:t>
      </w:r>
    </w:p>
    <w:p>
      <w:pPr>
        <w:pStyle w:val="ListBullet"/>
      </w:pPr>
      <w:r>
        <w:t>Процеси прогнозування технологічних втрат у цій мережі.</w:t>
      </w:r>
    </w:p>
    <w:p>
      <w:pPr>
        <w:pStyle w:val="ListBullet"/>
      </w:pPr>
      <w:r>
        <w:t>Процеси планування обсягів і вартості закупівлі електроенергії на компенсацію втрат (РСВ / ВСР / балансуючий ринок).</w:t>
      </w:r>
    </w:p>
    <w:p/>
    <w:p>
      <w:r>
        <w:t>Частка технологічних втрат TSO у магістральній мережі — орієнтовно 2–4 % переданої електроенергії; Система оперує саме цією часткою (не розподільчими втратами DSO).</w:t>
      </w:r>
    </w:p>
    <w:p/>
    <w:p>
      <w:pPr>
        <w:pStyle w:val="Heading3"/>
      </w:pPr>
      <w:r>
        <w:t>3.2. Предметна модель технологічних втрат (зміст, не формули)</w:t>
      </w:r>
    </w:p>
    <w:p/>
    <w:p>
      <w:r>
        <w:t>Технологічні втрати декомпозуються на фізично інтерпретовані складові-драйвери — це не довільні категорії, а рознесення, що дозволяє агентам пояснювати прогноз, а аналітику атрибутувати відхилення:</w:t>
      </w:r>
    </w:p>
    <w:p/>
    <w:p>
      <w:pPr>
        <w:pStyle w:val="ListBullet"/>
      </w:pPr>
      <w:r>
        <w:t>Навантажувальні втрати (I²R). Втрати в активному опорі ліній і обмоток, залежні від квадрата струму/перетоку (втрати ∝ навантаження²). Це робить прогноз нелінійно чутливим до похибки прогнозу перетоків і визначає вимогу до точності вхідного навантаження.</w:t>
      </w:r>
    </w:p>
    <w:p>
      <w:pPr>
        <w:pStyle w:val="ListBullet"/>
      </w:pPr>
      <w:r>
        <w:t>Втрати холостого ходу трансформаторів (втрати в сталі). Слабо залежать від навантаження, сильно — від кількості ввімкнених трансформаторів і рівня напруги; квазіпостійна базова складова.</w:t>
      </w:r>
    </w:p>
    <w:p>
      <w:pPr>
        <w:pStyle w:val="ListBullet"/>
      </w:pPr>
      <w:r>
        <w:t>Корона на повітряних лініях ВН/СВН. Погодозалежна складова, критична для 750 кВ: інтенсивність різко зростає за дощу, мокрого снігу, паморозі, високої вологості; питомі втрати на корону на лініях 750 кВ можуть сягати до ~84 кВт/км.</w:t>
      </w:r>
    </w:p>
    <w:p/>
    <w:p>
      <w:r>
        <w:t>Наслідок для архітектури: оскільки корона погодозалежна, а I²R залежить від навантаження², Система не може дати коректний прогноз без двох незалежних входів — прогнозу перетоків і прогнозу погоди. Відсутність будь-якого переводить прогноз у режим зниженої достовірності (явно маркується в UI).</w:t>
      </w:r>
    </w:p>
    <w:p/>
    <w:p>
      <w:pPr>
        <w:pStyle w:val="Heading3"/>
      </w:pPr>
      <w:r>
        <w:t>3.3. Джерела та характер даних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Аспект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Етап-1 (MVP), ДСК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Етап-2 (повна), до «цілком таємно»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Дані мережі/режимів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синтетичні + агреговані перетоки ENTSO-E (`OPEN_DATA`/`SYNTHETIC`)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реальні телеметричні SCADA/АСКОЕ, реальна топологія (`NDA_CALIBRATED`)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Метео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відкрите метео (≥2 джерела)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комерційні/відомчі метеоджерела під NDA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Ринкові дані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відкриті/синтетичні ціни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реальні дані РСВ/ВСР/БР, оператора ринку (NDA)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Гриф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ДСК, без держтаємниці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до «цілком таємно», NDA, КСЗІ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Захист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стандартний (TLS, RBAC, аудит)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КСЗІ, атестація, ізольований контур</w:t>
            </w:r>
          </w:p>
        </w:tc>
      </w:tr>
    </w:tbl>
    <w:p/>
    <w:p/>
    <w:p/>
    <w:p>
      <w:pPr>
        <w:pStyle w:val="Heading2"/>
      </w:pPr>
      <w:r>
        <w:t>4. ВИМОГИ ДО СИСТЕМИ</w:t>
      </w:r>
    </w:p>
    <w:p/>
    <w:p>
      <w:pPr>
        <w:pStyle w:val="Heading3"/>
      </w:pPr>
      <w:r>
        <w:t>4.0. Загальні вимоги до функціональної структури</w:t>
      </w:r>
    </w:p>
    <w:p/>
    <w:p>
      <w:r>
        <w:t>Обов'язковий склад екранів MVP — §4.1–§4.5. Кожен екран описано як: призначення → вхід/вміст → вихід → вимоги (FR) → взаємодія з агентом. Усі екрани §4.1–§4.5 працюють на синтетиці + відкритих даних без жодного входу під грифом.</w:t>
      </w:r>
    </w:p>
    <w:p/>
    <w:p>
      <w:pPr>
        <w:pStyle w:val="Heading3"/>
      </w:pPr>
      <w:r>
        <w:t>4.1. Екран «Прогноз втрат»</w:t>
      </w:r>
    </w:p>
    <w:p/>
    <w:p>
      <w:r>
        <w:t>Призначення. Основний робочий екран: показати прогнозований обсяг технологічних втрат проти факту.</w:t>
      </w:r>
    </w:p>
    <w:p>
      <w:r>
        <w:t>Вміст:</w:t>
      </w:r>
    </w:p>
    <w:p>
      <w:pPr>
        <w:pStyle w:val="ListBullet"/>
      </w:pPr>
      <w:r>
        <w:t>графік «факт vs прогноз» втрат на горизонті 1–7 діб;</w:t>
      </w:r>
    </w:p>
    <w:p>
      <w:pPr>
        <w:pStyle w:val="ListBullet"/>
      </w:pPr>
      <w:r>
        <w:t>розріз за рівнями напруги (750 кВ / 330 кВ окремо);</w:t>
      </w:r>
    </w:p>
    <w:p>
      <w:pPr>
        <w:pStyle w:val="ListBullet"/>
      </w:pPr>
      <w:r>
        <w:t>довірчий інтервал прогнозу (P10/P50/P90 або еквівалент);</w:t>
      </w:r>
    </w:p>
    <w:p>
      <w:pPr>
        <w:pStyle w:val="ListBullet"/>
      </w:pPr>
      <w:r>
        <w:t>маркування режиму достовірності (повні входи / деградований режим без метео чи без перетоків) і `data_origin`.</w:t>
      </w:r>
    </w:p>
    <w:p/>
    <w:p>
      <w:r>
        <w:t>Вимоги:</w:t>
      </w:r>
    </w:p>
    <w:p>
      <w:pPr>
        <w:pStyle w:val="ListBullet"/>
      </w:pPr>
      <w:r>
        <w:t>FR-3.1.1. Прогноз будується щонайменше з добовою дискретністю; цільова — погодинна.</w:t>
      </w:r>
    </w:p>
    <w:p>
      <w:pPr>
        <w:pStyle w:val="ListBullet"/>
      </w:pPr>
      <w:r>
        <w:t>FR-3.1.2. Перемикання горизонту 1/3/7 діб без перезавантаження.</w:t>
      </w:r>
    </w:p>
    <w:p>
      <w:pPr>
        <w:pStyle w:val="ListBullet"/>
      </w:pPr>
      <w:r>
        <w:t>FR-3.1.3. Кожна точка прогнозу клікабельна → перехід у «Драйвери» з контекстом дати/години.</w:t>
      </w:r>
    </w:p>
    <w:p/>
    <w:p>
      <w:pPr>
        <w:pStyle w:val="Heading3"/>
      </w:pPr>
      <w:r>
        <w:t>4.2. Екран «Драйвери втрат»</w:t>
      </w:r>
    </w:p>
    <w:p/>
    <w:p>
      <w:r>
        <w:t>Призначення. Пояснити, з чого складається прогноз і чому він такий.</w:t>
      </w:r>
    </w:p>
    <w:p>
      <w:r>
        <w:t>Вміст:</w:t>
      </w:r>
    </w:p>
    <w:p>
      <w:pPr>
        <w:pStyle w:val="ListBullet"/>
      </w:pPr>
      <w:r>
        <w:t>декомпозиція втрат на I²R / холостий хід трансформаторів / корона;</w:t>
      </w:r>
    </w:p>
    <w:p>
      <w:pPr>
        <w:pStyle w:val="ListBullet"/>
      </w:pPr>
      <w:r>
        <w:t>внесок впливу погоди окремою віссю (скільки втрат додає поточний/прогнозований метеосценарій);</w:t>
      </w:r>
    </w:p>
    <w:p>
      <w:pPr>
        <w:pStyle w:val="ListBullet"/>
      </w:pPr>
      <w:r>
        <w:t>stacked-розклад у часі + миттєвий зріз на обрану годину.</w:t>
      </w:r>
    </w:p>
    <w:p/>
    <w:p>
      <w:r>
        <w:t>Вимоги:</w:t>
      </w:r>
    </w:p>
    <w:p>
      <w:pPr>
        <w:pStyle w:val="ListBullet"/>
      </w:pPr>
      <w:r>
        <w:t>FR-3.2.1. Для кожної складової — числовий внесок (МВт·год і %) та напрям тренду.</w:t>
      </w:r>
    </w:p>
    <w:p>
      <w:pPr>
        <w:pStyle w:val="ListBullet"/>
      </w:pPr>
      <w:r>
        <w:t>FR-3.2.2. Виокремлення «погодної надбавки» (різниця прогнозу за фактичним метео vs кліматичною нормою).</w:t>
      </w:r>
    </w:p>
    <w:p>
      <w:pPr>
        <w:pStyle w:val="ListBullet"/>
      </w:pPr>
      <w:r>
        <w:t>FR-3.2.3. Агент-пояснювач генерує текстову атрибуцію природною українською («зростання втрат на 12 % зумовлене короною на ВЛ-750 через прогнозований мокрий сніг»).</w:t>
      </w:r>
    </w:p>
    <w:p/>
    <w:p>
      <w:pPr>
        <w:pStyle w:val="Heading3"/>
      </w:pPr>
      <w:r>
        <w:t>4.3. Екран «Прогноз закупівельної потреби»</w:t>
      </w:r>
    </w:p>
    <w:p/>
    <w:p>
      <w:r>
        <w:t>Призначення. Перевести прогноз втрат у потребу в обсязі електроенергії на компенсацію.</w:t>
      </w:r>
    </w:p>
    <w:p>
      <w:r>
        <w:t>Вміст:</w:t>
      </w:r>
    </w:p>
    <w:p>
      <w:pPr>
        <w:pStyle w:val="ListBullet"/>
      </w:pPr>
      <w:r>
        <w:t>прогнозований обсяг до закупівлі (МВт·год) по періодах доби та по добах горизонту;</w:t>
      </w:r>
    </w:p>
    <w:p>
      <w:pPr>
        <w:pStyle w:val="ListBullet"/>
      </w:pPr>
      <w:r>
        <w:t>зв'язок «прогноз втрат → обсяг компенсації» з урахуванням уже законтрактованих обсягів (заглушка/синтетика в MVP);</w:t>
      </w:r>
    </w:p>
    <w:p>
      <w:pPr>
        <w:pStyle w:val="ListBullet"/>
      </w:pPr>
      <w:r>
        <w:t>невизначеність потреби, успадкована від невизначеності прогнозу втрат.</w:t>
      </w:r>
    </w:p>
    <w:p/>
    <w:p>
      <w:r>
        <w:t>Вимоги:</w:t>
      </w:r>
    </w:p>
    <w:p>
      <w:pPr>
        <w:pStyle w:val="ListBullet"/>
      </w:pPr>
      <w:r>
        <w:t>FR-3.3.1. Обсяг закупівлі = прогноз втрат, скоригований на параметри, що задаються (резерв, профіль), — параметри редаговані аналітиком.</w:t>
      </w:r>
    </w:p>
    <w:p>
      <w:pPr>
        <w:pStyle w:val="ListBullet"/>
      </w:pPr>
      <w:r>
        <w:t>FR-3.3.2. Експорт потреби у табличному вигляді (з урахуванням обмежень експорту, див. §4.8 та §9).</w:t>
      </w:r>
    </w:p>
    <w:p/>
    <w:p>
      <w:pPr>
        <w:pStyle w:val="Heading3"/>
      </w:pPr>
      <w:r>
        <w:t>4.4. Екран «Сценарії закупівель»</w:t>
      </w:r>
    </w:p>
    <w:p/>
    <w:p>
      <w:r>
        <w:t>Призначення. Порівняти варіанти покриття потреби між сегментами ринку.</w:t>
      </w:r>
    </w:p>
    <w:p>
      <w:r>
        <w:t>Вміст:</w:t>
      </w:r>
    </w:p>
    <w:p>
      <w:pPr>
        <w:pStyle w:val="ListBullet"/>
      </w:pPr>
      <w:r>
        <w:t>сценарії розподілу закупівлі: РСВ / ВСР / балансуючий;</w:t>
      </w:r>
    </w:p>
    <w:p>
      <w:pPr>
        <w:pStyle w:val="ListBullet"/>
      </w:pPr>
      <w:r>
        <w:t>для кожного сценарію — оцінка ризику небалансу та потенційних штрафів;</w:t>
      </w:r>
    </w:p>
    <w:p>
      <w:pPr>
        <w:pStyle w:val="ListBullet"/>
      </w:pPr>
      <w:r>
        <w:t>порівняльна таблиця: очікувана вартість / ризик / чутливість до похибки прогнозу.</w:t>
      </w:r>
    </w:p>
    <w:p/>
    <w:p>
      <w:r>
        <w:t>Вимоги:</w:t>
      </w:r>
    </w:p>
    <w:p>
      <w:pPr>
        <w:pStyle w:val="ListBullet"/>
      </w:pPr>
      <w:r>
        <w:t>FR-3.4.1. Сценарії параметризовані (частки по сегментах), перерахунок ризику в реальному часі.</w:t>
      </w:r>
    </w:p>
    <w:p>
      <w:pPr>
        <w:pStyle w:val="ListBullet"/>
      </w:pPr>
      <w:r>
        <w:t>FR-3.4.2. Ризик небалансу обчислюється з розподілу похибки прогнозу втрат (а не з точкової оцінки).</w:t>
      </w:r>
    </w:p>
    <w:p>
      <w:pPr>
        <w:pStyle w:val="ListBullet"/>
      </w:pPr>
      <w:r>
        <w:t>FR-3.4.3. У MVP ціни — відкриті/синтетичні; модель клірингу не потрібна (див. §4.6 про опційне розширення).</w:t>
      </w:r>
    </w:p>
    <w:p/>
    <w:p>
      <w:pPr>
        <w:pStyle w:val="Heading3"/>
      </w:pPr>
      <w:r>
        <w:t>4.5. Екран «Аналіз відхилень»</w:t>
      </w:r>
    </w:p>
    <w:p/>
    <w:p>
      <w:r>
        <w:t>Призначення. Контроль якості прогнозу — замкнути цикл «прогноз → факт → навчання».</w:t>
      </w:r>
    </w:p>
    <w:p>
      <w:r>
        <w:t>Вміст:</w:t>
      </w:r>
    </w:p>
    <w:p>
      <w:pPr>
        <w:pStyle w:val="ListBullet"/>
      </w:pPr>
      <w:r>
        <w:t>MAPE та супутні метрики (MAE, bias) по горизонтах, рівнях напруги, драйверах;</w:t>
      </w:r>
    </w:p>
    <w:p>
      <w:pPr>
        <w:pStyle w:val="ListBullet"/>
      </w:pPr>
      <w:r>
        <w:t>розклад похибки в часі, виявлення систематичного зсуву;</w:t>
      </w:r>
    </w:p>
    <w:p>
      <w:pPr>
        <w:pStyle w:val="ListBullet"/>
      </w:pPr>
      <w:r>
        <w:t>атрибуція великих відхилень (метеопрогноз помилився / аномалія перетоків / режимна подія).</w:t>
      </w:r>
    </w:p>
    <w:p/>
    <w:p>
      <w:r>
        <w:t>Вимоги:</w:t>
      </w:r>
    </w:p>
    <w:p>
      <w:pPr>
        <w:pStyle w:val="ListBullet"/>
      </w:pPr>
      <w:r>
        <w:t>FR-3.5.1. MAPE рахується окремо для кожного горизонту (1д…7д) — деградація точності з горизонтом має бути видимою.</w:t>
      </w:r>
    </w:p>
    <w:p>
      <w:pPr>
        <w:pStyle w:val="ListBullet"/>
      </w:pPr>
      <w:r>
        <w:t>FR-3.5.2. Журнал відхилень доступний агенту-бібліотекарю для запитів («покажи всі дні з MAPE &gt; 8 % за корональним драйвером»).</w:t>
      </w:r>
    </w:p>
    <w:p/>
    <w:p>
      <w:pPr>
        <w:pStyle w:val="Heading3"/>
      </w:pPr>
      <w:r>
        <w:t>4.6. Опційне розширення: симулятор оптового ринку</w:t>
      </w:r>
    </w:p>
    <w:p/>
    <w:p>
      <w:r>
        <w:t>Як опційне розширення (не основний продукт і не самостійний модуль) може бути додано симулятор оптового ринку для глибшого аналізу закупівельних сценаріїв: кліринг сегментів РСВ/ВСР, формування цінових кривих; моделювання ринкової влади учасників; стрес-сценарії за цінових шоків.</w:t>
      </w:r>
    </w:p>
    <w:p/>
    <w:p>
      <w:r>
        <w:t>Межі розширення: це підфункція екрана «Сценарії закупівель», що уточнює цінову складову ризику, а не заміна прогнозу втрат. Симулятор не змінює ядро Системи — прогноз технологічних втрат лишається первинним; ринкова модель лише вартісно оцінює вже спрогнозовану потребу. Активується окремо; у базовому MVP замінюється відкритими/синтетичними цінами.</w:t>
      </w:r>
    </w:p>
    <w:p/>
    <w:p>
      <w:pPr>
        <w:pStyle w:val="Heading3"/>
      </w:pPr>
      <w:r>
        <w:t>4.7. Вимоги до вхідних даних і опційної інтеграції</w:t>
      </w:r>
    </w:p>
    <w:p/>
    <w:p>
      <w:pPr>
        <w:pStyle w:val="ListBullet"/>
      </w:pPr>
      <w:r>
        <w:t>FR-3.7.1 (Метео — обов'язково). Метеоінтеграція обов'язкова й резервована (бажано ≥2 джерела); втрата метео → деградований режим, а не зупинка. Прогноз погоди прив'язується гео до ліній (опади, тип опадів, вологість, температура, тиск) — критичний вхід через корону.</w:t>
      </w:r>
    </w:p>
    <w:p>
      <w:pPr>
        <w:pStyle w:val="ListBullet"/>
      </w:pPr>
      <w:r>
        <w:t>FR-3.7.2 (Перетоки — обов'язково). У MVP вхід перетоків/навантаження — агреговані дані ENTSO-E Transparency Platform + синтетика. Втрата входу перетоків → деградований режим з маркуванням достовірності.</w:t>
      </w:r>
    </w:p>
    <w:p>
      <w:pPr>
        <w:pStyle w:val="ListBullet"/>
      </w:pPr>
      <w:r>
        <w:t>FR-3.7.3 (Опційна інтеграція — НЕ обов'язкова). За наявності окремого рішення фізичного моделювання мережі Система може отримувати вузловий режим (AC load-flow) як точніший вхід для I²R-складової через опційний інтеграційний шар (окреме рамкове ТЗ). Контракт даних версіонується; за відсутності або недоступності цього входу Система штатно деградує до агрегованих перетоків ENTSO-E з явним маркуванням достовірності. Жодна базова функція §4.1–§4.5 не залежить від наявності цієї інтеграції.</w:t>
      </w:r>
    </w:p>
    <w:p/>
    <w:p>
      <w:pPr>
        <w:pStyle w:val="Heading3"/>
      </w:pPr>
      <w:r>
        <w:t>4.8. Вимоги до агентної взаємодії (всередині продукту)</w:t>
      </w:r>
    </w:p>
    <w:p/>
    <w:p>
      <w:r>
        <w:t>Агенти реалізують дві віддачі: (1) підтяжка моделі до фізики — порівняння «прогноз vs факт», виявлення систематичних зсувів, сигнал на калібрування (на Етапі-2 — підтяжка PINN до телеметрії); (2) прикладні інсайти — атрибуція драйверів і рекомендації щодо закупівлі українською.</w:t>
      </w:r>
    </w:p>
    <w:p/>
    <w:p>
      <w:r>
        <w:t>Агент-бібліотекар:</w:t>
      </w:r>
    </w:p>
    <w:p>
      <w:pPr>
        <w:pStyle w:val="ListBullet"/>
      </w:pPr>
      <w:r>
        <w:t>FR-3.8.1. Аналітик ставить запит природною мовою → агент перетворює його на SQL/запит до сховища та повертає таблицю чи графік.</w:t>
      </w:r>
    </w:p>
    <w:p>
      <w:pPr>
        <w:pStyle w:val="ListBullet"/>
      </w:pPr>
      <w:r>
        <w:t>FR-3.8.2. Кожен запит проходить через RBAC: користувач бачить лише ті зрізи (рівні напруги, об'єкти, періоди), на які має право; RBAC застосовується на рівні рядків і стовпців, а не лише екрана.</w:t>
      </w:r>
    </w:p>
    <w:p>
      <w:pPr>
        <w:pStyle w:val="ListBullet"/>
      </w:pPr>
      <w:r>
        <w:t>FR-3.8.3. Усі запити логуються в незмінний аудит (вимога двосторонності/щита).</w:t>
      </w:r>
    </w:p>
    <w:p/>
    <w:p>
      <w:pPr>
        <w:pStyle w:val="Heading3"/>
      </w:pPr>
      <w:r>
        <w:t>4.9. Вимоги до моделей прогнозування</w:t>
      </w:r>
    </w:p>
    <w:p/>
    <w:p>
      <w:r>
        <w:t>MVP-модель (Етап-1). Базова форма: Втрати = f(навантаження², погода, сезон) — регресія / градієнтний бустинг. Дані навчання: ENTSO-E (перетоки, навантаження, генерація) + відкрите метео + синтетика для рідкісних режимів. Обов'язкові ознаки: квадрат навантаження/перетоку (фізичний пріор для I²R); метеоознаки під корону (опади, тип опадів, вологість, температура, тиск за рівнями напруги); сезонність, день тижня, свята; кількість/конфігурація ввімкнених трансформаторів (проксі для холостого ходу).</w:t>
      </w:r>
    </w:p>
    <w:p/>
    <w:p>
      <w:pPr>
        <w:pStyle w:val="ListBullet"/>
      </w:pPr>
      <w:r>
        <w:t>FR-3.6.1. Модель віддає не лише точку, а розподіл (для розрахунку ризику небалансу в §4.4).</w:t>
      </w:r>
    </w:p>
    <w:p>
      <w:pPr>
        <w:pStyle w:val="ListBullet"/>
      </w:pPr>
      <w:r>
        <w:t>FR-3.6.2. Модель інтерпретована за драйверами (внесок ознак мапиться на I²R / трансформатори / корону) — інакше неможливий екран «Драйвери».</w:t>
      </w:r>
    </w:p>
    <w:p>
      <w:pPr>
        <w:pStyle w:val="ListBullet"/>
      </w:pPr>
      <w:r>
        <w:t>FR-3.6.3. Перенавчання за розкладом + після накопичення фактичних відхилень.</w:t>
      </w:r>
    </w:p>
    <w:p/>
    <w:p>
      <w:r>
        <w:t>Vision / Етап-2 (формули НЕ фіксуються тут). Перехід від статистичної регресії до фізично-узгоджених моделей: PINN з фізичним loss-членом, що штрафує відхилення від рівняння втрат у вітці виду ΔP = G·(Vi² + Vj² − 2·Vi·Vj·cosθ) (наведено орієнтир структури, а не остаточну формулу для імплементації); AC load-flow як джерело фізично коректного вузлового режиму (через опційну інтеграцію); стохастична оптимізація закупівлі. Інваріант: усі формули фізики Етапу-2 розробляються разом із доменними фахівцями НЕК і фіксуються в окремому доменному додатку до ТЗ під відповідним грифом.</w:t>
      </w:r>
    </w:p>
    <w:p/>
    <w:p>
      <w:pPr>
        <w:pStyle w:val="Heading3"/>
      </w:pPr>
      <w:r>
        <w:t>4.10. Вимоги до видів забезпечення</w:t>
      </w:r>
    </w:p>
    <w:p/>
    <w:p>
      <w:pPr>
        <w:pStyle w:val="ListBullet"/>
      </w:pPr>
      <w:r>
        <w:t>4.10.1. Безпека / RBAC. Рольова модель — частина схеми даних; row/column-level security; повний аудит запитів і експортів. Допуск до АС «Прогноз втрат» — окремий, незалежний від доступу до будь-яких інших рішень.</w:t>
      </w:r>
    </w:p>
    <w:p>
      <w:pPr>
        <w:pStyle w:val="ListBullet"/>
      </w:pPr>
      <w:r>
        <w:t>4.10.2. Гриф і середовище. Етап-2 — в атестованому за КСЗІ контурі (НД ТЗІ); Етап-1 — стандартний контур без держтаємниці (ДСК).</w:t>
      </w:r>
    </w:p>
    <w:p>
      <w:pPr>
        <w:pStyle w:val="ListBullet"/>
      </w:pPr>
      <w:r>
        <w:t>4.10.3. Двосторонність. Модель загроз обов'язкова: для кожної аналітичної спроможності оцінюється ризик зловживання; експорт чутливих зрізів обмежено й логовано.</w:t>
      </w:r>
    </w:p>
    <w:p>
      <w:pPr>
        <w:pStyle w:val="ListBullet"/>
      </w:pPr>
      <w:r>
        <w:t>4.10.4. Достовірність. Будь-яка деградація входів (метео, перетоки) явно маркується в UI; Система не видає «впевнений» прогноз на неповних даних.</w:t>
      </w:r>
    </w:p>
    <w:p>
      <w:pPr>
        <w:pStyle w:val="ListBullet"/>
      </w:pPr>
      <w:r>
        <w:t>4.10.5. Продуктивність. Перерахунок сценаріїв закупівлі (§4.4) — інтерактивний (одиниці секунд на горизонт 7 діб).</w:t>
      </w:r>
    </w:p>
    <w:p>
      <w:pPr>
        <w:pStyle w:val="ListBullet"/>
      </w:pPr>
      <w:r>
        <w:t>4.10.6. Відтворюваність. Кожен прогноз зберігає версію моделі, набір входів і метеоснапшот для подальшого аналізу відхилень.</w:t>
      </w:r>
    </w:p>
    <w:p>
      <w:pPr>
        <w:pStyle w:val="ListBullet"/>
      </w:pPr>
      <w:r>
        <w:t>4.10.7. Лінгвістичне забезпечення. UI, звіти, повідомлення агентів, документація — українська.</w:t>
      </w:r>
    </w:p>
    <w:p>
      <w:pPr>
        <w:pStyle w:val="ListBullet"/>
      </w:pPr>
      <w:r>
        <w:t>4.10.8. data_origin. Кожен зріз і кожен експорт маркується `SYNTHETIC` / `OPEN_DATA` / `NDA_CALIBRATED`.</w:t>
      </w:r>
    </w:p>
    <w:p/>
    <w:p/>
    <w:p>
      <w:pPr>
        <w:pStyle w:val="Heading3"/>
      </w:pPr>
      <w:r>
        <w:t>4.8. Надбудова: автономний агентний контур 24/7 (БОНУС понад обовʼязкові вимоги)</w:t>
      </w:r>
    </w:p>
    <w:p/>
    <w:p>
      <w:pPr>
        <w:ind w:left="454"/>
      </w:pPr>
      <w:r>
        <w:rPr>
          <w:i/>
        </w:rPr>
        <w:t>Статус. Цей розділ описує додаткову спроможність-надбудову понад обовʼязкові вимоги Замовника (розділ 4.6). Усі функції розділів 1–4.7 є базою приймання й виконуються незалежно від цієї надбудови. Агентний контур 24/7 — це бонус-перевага запропонованого рішення: він не замінює жодну обовʼязкову функцію, а підсилює її, перетворюючи статичний аналітичний інструмент на самонавчальний контур пошуку вразливостей.</w:t>
      </w:r>
    </w:p>
    <w:p/>
    <w:p>
      <w:r>
        <w:t>4.8.1. Призначення надбудови. Замість того щоб аналітик вручну перебирав простір станів, агенти працюють безперервно (24/7) і приносять людині вже відібране найперспективніше — не сирі дані, а короткий перелік гіпотез, готових до поглибленої доменної перевірки.</w:t>
      </w:r>
    </w:p>
    <w:p/>
    <w:p>
      <w:r>
        <w:t>4.8.2. Цикл контуру (наскрізний патерн надбудови):</w:t>
      </w:r>
    </w:p>
    <w:p>
      <w:pPr>
        <w:pStyle w:val="ListNumber"/>
      </w:pPr>
      <w:r>
        <w:t>Масова генерація — агенти автономно проганяють мільйони рандомізованих сценаріїв (комбінації навантаження², метеосценаріїв та конфігурацій мережі, що впливають на технологічні втрати) цілодобово.</w:t>
      </w:r>
    </w:p>
    <w:p>
      <w:pPr>
        <w:pStyle w:val="ListNumber"/>
      </w:pPr>
      <w:r>
        <w:t>Накопичення Big Data — результати прогонів осідають у власному сховищі продукту (своя Big Data, не залежить від інших рішень).</w:t>
      </w:r>
    </w:p>
    <w:p>
      <w:pPr>
        <w:pStyle w:val="ListNumber"/>
      </w:pPr>
      <w:r>
        <w:t>Агентний аналіз — агенти шукають у масиві інсайти, аномалії та аномальні режими втрат, систематичні зсуви прогнозу та погодні надбавки.</w:t>
      </w:r>
    </w:p>
    <w:p>
      <w:pPr>
        <w:pStyle w:val="ListNumber"/>
      </w:pPr>
      <w:r>
        <w:t>Фільтр перспективності — агенти відсівають шум і ранжують знахідки, лишаючи лише найперспективніші/найкритичніші сценарії та гіпотези.</w:t>
      </w:r>
    </w:p>
    <w:p>
      <w:pPr>
        <w:pStyle w:val="ListNumber"/>
      </w:pPr>
      <w:r>
        <w:t>Передача людині вже відібраного — аналітик отримує 5 гіпотез замість 5 мільйонів: короткий, обґрунтований, пояснений перелік (а не сирий масив).</w:t>
      </w:r>
    </w:p>
    <w:p>
      <w:pPr>
        <w:pStyle w:val="ListNumber"/>
      </w:pPr>
      <w:r>
        <w:t>Поглиблена перевірка доменним експертом — фахівець із прогнозування втрат / комерційний блок швидко верифікує/спростовує відібрані гіпотези (а не тоне в даних).</w:t>
      </w:r>
    </w:p>
    <w:p>
      <w:pPr>
        <w:pStyle w:val="ListNumber"/>
      </w:pPr>
      <w:r>
        <w:t>Зворотний звʼязок у цикл — підтверджені/спростовані гіпотези підтягують клон до фізики та уточнюють фільтр; контур повертається до кроку 1.</w:t>
      </w:r>
    </w:p>
    <w:p/>
    <w:p>
      <w:r>
        <w:t>4.8.3. Цінність для Замовника. Експерт не тоне в даних: машина 24/7 відсіює мусор і приносить керовану кількість перевірюваних гіпотез. Це двоїста віддача з одного процесу: (а) сам інструмент стає достовірнішим (підтяжка клона), (б) людина отримує прикладні інсайти під свою задачу.</w:t>
      </w:r>
    </w:p>
    <w:p/>
    <w:p>
      <w:r>
        <w:t>4.8.4. Вимоги до надбудови:</w:t>
      </w:r>
    </w:p>
    <w:p>
      <w:pPr>
        <w:pStyle w:val="ListBullet"/>
      </w:pPr>
      <w:r>
        <w:t>FR-AG.1. Контур працює автономно й безперервно; зупинка надбудови не впливає на обовʼязкові функції розділу 4.6.</w:t>
      </w:r>
    </w:p>
    <w:p>
      <w:pPr>
        <w:pStyle w:val="ListBullet"/>
      </w:pPr>
      <w:r>
        <w:t>FR-AG.2. Фільтр перспективності параметризований; критерії відбору налаштовуються й журналюються.</w:t>
      </w:r>
    </w:p>
    <w:p>
      <w:pPr>
        <w:pStyle w:val="ListBullet"/>
      </w:pPr>
      <w:r>
        <w:t>FR-AG.3. Кожна передана людині гіпотеза супроводжується поясненням українською та трасуванням до вихідних прогонів (відтворюваність).</w:t>
      </w:r>
    </w:p>
    <w:p>
      <w:pPr>
        <w:pStyle w:val="ListBullet"/>
      </w:pPr>
      <w:r>
        <w:t>FR-AG.4. Усі дії агентів і відбір підпорядковані RBAC та незмінному аудиту.</w:t>
      </w:r>
    </w:p>
    <w:p>
      <w:pPr>
        <w:pStyle w:val="ListBullet"/>
      </w:pPr>
      <w:r>
        <w:t>FR-AG.5. Надбудова не є умовою приймання MVP (розділ 6); вона приймається окремо як додаткова спроможність.</w:t>
      </w:r>
    </w:p>
    <w:p/>
    <w:p>
      <w:pPr>
        <w:pStyle w:val="Heading2"/>
      </w:pPr>
      <w:r>
        <w:t>5. СКЛАД І ЗМІСТ РОБІТ ЗІ СТВОРЕННЯ СИСТЕМИ</w:t>
      </w:r>
    </w:p>
    <w:p/>
    <w:p>
      <w:r>
        <w:t>Роботи виконуються у два етапи згідно з ГОСТ 34.601-90.</w:t>
      </w:r>
    </w:p>
    <w:p/>
    <w:p>
      <w:pPr>
        <w:pStyle w:val="Heading3"/>
      </w:pPr>
      <w:r>
        <w:t>5.1. Етап-1 (MVP), гриф ДСК</w:t>
      </w:r>
    </w:p>
    <w:p/>
    <w:p>
      <w:pPr>
        <w:pStyle w:val="ListNumber"/>
      </w:pPr>
      <w:r>
        <w:t>Обстеження: інтерв'ю з фахівцями НЕК з прогнозування та закупівлі втрат, уточнення вимог до моделі (на базі моделей для облєнерго).</w:t>
      </w:r>
    </w:p>
    <w:p>
      <w:pPr>
        <w:pStyle w:val="ListNumber"/>
      </w:pPr>
      <w:r>
        <w:t>Формування набору даних: ENTSO-E (перетоки, навантаження, генерація) + відкрите метео (≥2 джерела) + генератор синтетики для рідкісних режимів; маркування `data_origin`.</w:t>
      </w:r>
    </w:p>
    <w:p>
      <w:pPr>
        <w:pStyle w:val="ListNumber"/>
      </w:pPr>
      <w:r>
        <w:t>Розроблення MVP-моделі прогнозу втрат (регресія/бустинг) з розподілом і драйверною інтерпретацією.</w:t>
      </w:r>
    </w:p>
    <w:p>
      <w:pPr>
        <w:pStyle w:val="ListNumber"/>
      </w:pPr>
      <w:r>
        <w:t>Реалізація екранів §4.1–§4.5 і агентного контуру (пояснювач + бібліотекар NL→SQL).</w:t>
      </w:r>
    </w:p>
    <w:p>
      <w:pPr>
        <w:pStyle w:val="ListNumber"/>
      </w:pPr>
      <w:r>
        <w:t>Реалізація RBAC (row/column-level) і незмінного аудиту.</w:t>
      </w:r>
    </w:p>
    <w:p>
      <w:pPr>
        <w:pStyle w:val="ListNumber"/>
      </w:pPr>
      <w:r>
        <w:t>Базування метрик (MAPE/MAE/bias) як baseline.</w:t>
      </w:r>
    </w:p>
    <w:p>
      <w:pPr>
        <w:pStyle w:val="ListNumber"/>
      </w:pPr>
      <w:r>
        <w:t>Демонстрація патерну «сценарії → Big Data → дві віддачі агентів → аналітик через бібліотекаря».</w:t>
      </w:r>
    </w:p>
    <w:p>
      <w:pPr>
        <w:pStyle w:val="ListNumber"/>
      </w:pPr>
      <w:r>
        <w:t>Приймальні випробування MVP (розділ 6).</w:t>
      </w:r>
    </w:p>
    <w:p/>
    <w:p>
      <w:pPr>
        <w:pStyle w:val="Heading3"/>
      </w:pPr>
      <w:r>
        <w:t>5.2. Етап-2 (повна система), гриф до «цілком таємно»</w:t>
      </w:r>
    </w:p>
    <w:p/>
    <w:p>
      <w:pPr>
        <w:pStyle w:val="ListNumber"/>
      </w:pPr>
      <w:r>
        <w:t>Підготовка захищеного контуру з КСЗІ (НД ТЗІ), атестація.</w:t>
      </w:r>
    </w:p>
    <w:p>
      <w:pPr>
        <w:pStyle w:val="ListNumber"/>
      </w:pPr>
      <w:r>
        <w:t>Підключення реальних даних ОЕС під NDA (SCADA/АСКОЕ, реальна топологія), маркування `NDA_CALIBRATED`.</w:t>
      </w:r>
    </w:p>
    <w:p>
      <w:pPr>
        <w:pStyle w:val="ListNumber"/>
      </w:pPr>
      <w:r>
        <w:t>Доменна деталізація фізики: розроблення PINN з фізичним loss та інтеграція AC load-flow як входу (формули — окремий доменний додаток під грифом).</w:t>
      </w:r>
    </w:p>
    <w:p>
      <w:pPr>
        <w:pStyle w:val="ListNumber"/>
      </w:pPr>
      <w:r>
        <w:t>Стохастична оптимізація закупівлі.</w:t>
      </w:r>
    </w:p>
    <w:p>
      <w:pPr>
        <w:pStyle w:val="ListNumber"/>
      </w:pPr>
      <w:r>
        <w:t>(Опційно) інтеграційний шар з іншими рішеннями НЕК — за окремим рамковим ТЗ.</w:t>
      </w:r>
    </w:p>
    <w:p>
      <w:pPr>
        <w:pStyle w:val="ListNumber"/>
      </w:pPr>
      <w:r>
        <w:t>(Опційно) симулятор оптового ринку (§4.6).</w:t>
      </w:r>
    </w:p>
    <w:p>
      <w:pPr>
        <w:pStyle w:val="ListNumber"/>
      </w:pPr>
      <w:r>
        <w:t>Калібрування моделей до реальної телеметрії; промислова експлуатація.</w:t>
      </w:r>
    </w:p>
    <w:p>
      <w:pPr>
        <w:pStyle w:val="ListNumber"/>
      </w:pPr>
      <w:r>
        <w:t>Приймальні випробування повної системи.</w:t>
      </w:r>
    </w:p>
    <w:p/>
    <w:p/>
    <w:p>
      <w:pPr>
        <w:pStyle w:val="Heading2"/>
      </w:pPr>
      <w:r>
        <w:t>6. ПОРЯДОК КОНТРОЛЮ ТА ПРИЙМАННЯ СИСТЕМИ</w:t>
      </w:r>
    </w:p>
    <w:p/>
    <w:p>
      <w:pPr>
        <w:pStyle w:val="Heading3"/>
      </w:pPr>
      <w:r>
        <w:t>6.1. Критерії приймання MVP (Етап-1)</w:t>
      </w:r>
    </w:p>
    <w:p/>
    <w:p>
      <w:pPr>
        <w:pStyle w:val="ListBullet"/>
      </w:pPr>
      <w:r>
        <w:t>Екрани §4.1–§4.5 працюють на синтетиці + відкритих даних без жодного входу під грифом.</w:t>
      </w:r>
    </w:p>
    <w:p>
      <w:pPr>
        <w:pStyle w:val="ListBullet"/>
      </w:pPr>
      <w:r>
        <w:t>Прогноз втрат будується на горизонті 1–7 діб у розрізі 750/330 кВ із декомпозицією на I²R / трансформатори / корону.</w:t>
      </w:r>
    </w:p>
    <w:p>
      <w:pPr>
        <w:pStyle w:val="ListBullet"/>
      </w:pPr>
      <w:r>
        <w:t>Метеоінтеграція впливає на корональну складову й видима на екрані «Драйвери».</w:t>
      </w:r>
    </w:p>
    <w:p>
      <w:pPr>
        <w:pStyle w:val="ListBullet"/>
      </w:pPr>
      <w:r>
        <w:t>Прогноз втрат перетворюється на закупівельну потребу та ≥3 сценарії (РСВ/ВСР/баланс) з оцінкою ризику небалансу.</w:t>
      </w:r>
    </w:p>
    <w:p>
      <w:pPr>
        <w:pStyle w:val="ListBullet"/>
      </w:pPr>
      <w:r>
        <w:t>«Аналіз відхилень» рахує MAPE по горизонтах і драйверах; журнал доступний агенту-бібліотекарю.</w:t>
      </w:r>
    </w:p>
    <w:p>
      <w:pPr>
        <w:pStyle w:val="ListBullet"/>
      </w:pPr>
      <w:r>
        <w:t>Кожен запит агента-бібліотекаря підпорядкований RBAC (row/column-level), усе логується.</w:t>
      </w:r>
    </w:p>
    <w:p>
      <w:pPr>
        <w:pStyle w:val="ListBullet"/>
      </w:pPr>
      <w:r>
        <w:t>Жодна формула фізики Етапу-2 не «зашита» як остаточна — вони лишаються зоною доменної деталізації Етапу-2.</w:t>
      </w:r>
    </w:p>
    <w:p>
      <w:pPr>
        <w:pStyle w:val="ListBullet"/>
      </w:pPr>
      <w:r>
        <w:t>Підтверджено самодостатність: Система працює без будь-якої зовнішньої інтеграції; опційний інтеграційний вхід вимикається без втрати базових функцій.</w:t>
      </w:r>
    </w:p>
    <w:p/>
    <w:p>
      <w:pPr>
        <w:pStyle w:val="Heading3"/>
      </w:pPr>
      <w:r>
        <w:t>6.2. Критерії приймання повної системи (Етап-2)</w:t>
      </w:r>
    </w:p>
    <w:p/>
    <w:p>
      <w:pPr>
        <w:pStyle w:val="ListBullet"/>
      </w:pPr>
      <w:r>
        <w:t>Робота у захищеному контурі з атестованою КСЗІ; обробка реальних даних під NDA з маркуванням `NDA_CALIBRATED`.</w:t>
      </w:r>
    </w:p>
    <w:p>
      <w:pPr>
        <w:pStyle w:val="ListBullet"/>
      </w:pPr>
      <w:r>
        <w:t>Фізично-узгоджена модель (PINN / AC load-flow) за доменним додатком; покращення MAPE відносно baseline Етапу-1.</w:t>
      </w:r>
    </w:p>
    <w:p>
      <w:pPr>
        <w:pStyle w:val="ListBullet"/>
      </w:pPr>
      <w:r>
        <w:t>Підтверджено штатну деградацію за відсутності опційного вузлового входу.</w:t>
      </w:r>
    </w:p>
    <w:p/>
    <w:p>
      <w:pPr>
        <w:pStyle w:val="Heading3"/>
      </w:pPr>
      <w:r>
        <w:t>6.3. Види випробувань</w:t>
      </w:r>
    </w:p>
    <w:p/>
    <w:p>
      <w:r>
        <w:t>Попередні, дослідна експлуатація, приймальні — згідно з ГОСТ 34.601-90. Конкретні кількісні пороги (цільові MAPE по горизонтах тощо) фіксуються у Програмі та методиці випробувань.</w:t>
      </w:r>
    </w:p>
    <w:p/>
    <w:p/>
    <w:p>
      <w:pPr>
        <w:pStyle w:val="Heading2"/>
      </w:pPr>
      <w:r>
        <w:t>7. ВИМОГИ ДО СКЛАДУ І ЗМІСТУ РОБІТ З ПІДГОТОВКИ ОБ'ЄКТА АВТОМАТИЗАЦІЇ ДО ВВЕДЕННЯ В ДІЮ</w:t>
      </w:r>
    </w:p>
    <w:p/>
    <w:p>
      <w:pPr>
        <w:pStyle w:val="ListBullet"/>
      </w:pPr>
      <w:r>
        <w:t>Етап-1. Замовник забезпечує доступ фахівців для інтерв'ю; погодження переліку відкритих джерел (ENTSO-E, метео); виділення стандартного обчислювального контуру (ДСК).</w:t>
      </w:r>
    </w:p>
    <w:p>
      <w:pPr>
        <w:pStyle w:val="ListBullet"/>
      </w:pPr>
      <w:r>
        <w:t>Етап-2. Замовник забезпечує: атестований за КСЗІ контур; надання реальних даних під NDA; призначення відповідальних за допуски в рамках RBAC (окремий допуск саме до цієї Системи); погодження доменного додатка з фізики.</w:t>
      </w:r>
    </w:p>
    <w:p>
      <w:pPr>
        <w:pStyle w:val="ListBullet"/>
      </w:pPr>
      <w:r>
        <w:t>Передача. Повна передача продукту (код, дані конфігурації, експлуатаційна документація, навчання персоналу) з правом експлуатації без зобов'язань розробника щодо супроводу; забезпечення відсутності технологічної залежності від розробника.</w:t>
      </w:r>
    </w:p>
    <w:p/>
    <w:p/>
    <w:p>
      <w:pPr>
        <w:pStyle w:val="Heading2"/>
      </w:pPr>
      <w:r>
        <w:t>8. ВИМОГИ ДО ДОКУМЕНТУВАННЯ</w:t>
      </w:r>
    </w:p>
    <w:p/>
    <w:p>
      <w:r>
        <w:t>Комплект документів — згідно з ГОСТ 34.201-89:</w:t>
      </w:r>
    </w:p>
    <w:p>
      <w:pPr>
        <w:pStyle w:val="ListBullet"/>
      </w:pPr>
      <w:r>
        <w:t>ТЗ (цей документ);</w:t>
      </w:r>
    </w:p>
    <w:p>
      <w:pPr>
        <w:pStyle w:val="ListBullet"/>
      </w:pPr>
      <w:r>
        <w:t>опис постановки задачі прогнозування та моделі даних (зі схемою RBAC і маркуванням `data_origin`);</w:t>
      </w:r>
    </w:p>
    <w:p>
      <w:pPr>
        <w:pStyle w:val="ListBullet"/>
      </w:pPr>
      <w:r>
        <w:t>керівництво користувача/аналітика та керівництво адміністратора (українською);</w:t>
      </w:r>
    </w:p>
    <w:p>
      <w:pPr>
        <w:pStyle w:val="ListBullet"/>
      </w:pPr>
      <w:r>
        <w:t>програма та методика випробувань;</w:t>
      </w:r>
    </w:p>
    <w:p>
      <w:pPr>
        <w:pStyle w:val="ListBullet"/>
      </w:pPr>
      <w:r>
        <w:t>модель загроз (двосторонність) і регламент обмежень експорту;</w:t>
      </w:r>
    </w:p>
    <w:p>
      <w:pPr>
        <w:pStyle w:val="ListBullet"/>
      </w:pPr>
      <w:r>
        <w:t>доменний додаток з фізики Етапу-2 (під відповідним грифом);</w:t>
      </w:r>
    </w:p>
    <w:p>
      <w:pPr>
        <w:pStyle w:val="ListBullet"/>
      </w:pPr>
      <w:r>
        <w:t>експлуатаційна документація для повної передачі без супроводу розробником;</w:t>
      </w:r>
    </w:p>
    <w:p>
      <w:pPr>
        <w:pStyle w:val="ListBullet"/>
      </w:pPr>
      <w:r>
        <w:t>(за наявності) специфікація опційного інтеграційного шару — погоджується з окремим рамковим ТЗ інтеграційного шару.</w:t>
      </w:r>
    </w:p>
    <w:p/>
    <w:p>
      <w:r>
        <w:t>Уся документація — українською мовою (ДСТУ ГОСТ 2.105, ДСТУ 4163:2020).</w:t>
      </w:r>
    </w:p>
    <w:p/>
    <w:p/>
    <w:p>
      <w:pPr>
        <w:pStyle w:val="Heading2"/>
      </w:pPr>
      <w:r>
        <w:t>9. ДЖЕРЕЛА РОЗРОБЛЕННЯ</w:t>
      </w:r>
    </w:p>
    <w:p/>
    <w:p>
      <w:pPr>
        <w:pStyle w:val="ListBullet"/>
      </w:pPr>
      <w:r>
        <w:t>Офіційна програма співпраці НЕК «Укренерго» (Рішення 3 — прогнозування технологічних втрат і підтримка закупівельної діяльності; модель повної передачі без зобов'язань щодо супроводу).</w:t>
      </w:r>
    </w:p>
    <w:p>
      <w:pPr>
        <w:pStyle w:val="ListBullet"/>
      </w:pPr>
      <w:r>
        <w:t>Відпрацьовані моделі прогнозування технологічних втрат для операторів систем розподілу (облєнерго) — база продукту.</w:t>
      </w:r>
    </w:p>
    <w:p>
      <w:pPr>
        <w:pStyle w:val="ListBullet"/>
      </w:pPr>
      <w:r>
        <w:t>ENTSO-E Transparency Platform (перетоки, навантаження, генерація — відкриті дані).</w:t>
      </w:r>
    </w:p>
    <w:p>
      <w:pPr>
        <w:pStyle w:val="ListBullet"/>
      </w:pPr>
      <w:r>
        <w:t>Відкриті метеоджерела (прогноз погоди з гео-прив'язкою до ліній).</w:t>
      </w:r>
    </w:p>
    <w:p>
      <w:pPr>
        <w:pStyle w:val="ListBullet"/>
      </w:pPr>
      <w:r>
        <w:t>Нормативні документи з переліку нормативних посилань (ГОСТ 34.x, ДСТУ, НД ТЗІ).</w:t>
      </w:r>
    </w:p>
    <w:p>
      <w:pPr>
        <w:pStyle w:val="ListBullet"/>
      </w:pPr>
      <w:r>
        <w:t>Окреме рамкове ТЗ інтеграційного шару (для опційної інтеграції з іншими рішеннями) — як зовнішнє джерело вимог сумісності.</w:t>
      </w:r>
    </w:p>
    <w:p/>
    <w:p>
      <w:r>
        <w:br w:type="page"/>
      </w:r>
    </w:p>
    <w:p>
      <w:pPr>
        <w:jc w:val="left"/>
      </w:pPr>
      <w:r>
        <w:rPr>
          <w:b/>
        </w:rPr>
        <w:t>Відомості про виконавців:</w:t>
      </w:r>
    </w:p>
    <w:p>
      <w:r>
        <w:rPr>
          <w:sz w:val="18"/>
        </w:rPr>
        <w:t>____________________  (Прізвище І. П.)</w:t>
        <w:br/>
        <w:t>тел. (___) ___-__-__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