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22"/>
        </w:rPr>
        <w:t>Гриф обмеження доступу: «ЦІЛКОМ ТАЄМНО»</w:t>
        <w:br/>
        <w:t>Прим. № ____   (проєкт — до затвердження КСЗІ)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sz w:val="22"/>
              </w:rPr>
              <w:t>ПОГОДЖЕНО</w:t>
              <w:br/>
              <w:t>Генеральний директор ВИКОНАВЦЯ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  <w:tc>
          <w:tcPr>
            <w:tcW w:type="dxa" w:w="4320"/>
          </w:tcPr>
          <w:p>
            <w:r>
              <w:rPr>
                <w:sz w:val="22"/>
              </w:rPr>
              <w:t>ЗАТВЕРДЖУЮ</w:t>
              <w:br/>
              <w:t>Генеральний директор</w:t>
              <w:br/>
              <w:t>НЕК «УКРЕНЕРГО»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</w:tr>
    </w:tbl>
    <w:p/>
    <w:p/>
    <w:p/>
    <w:p>
      <w:pPr>
        <w:jc w:val="center"/>
      </w:pPr>
      <w:r>
        <w:rPr>
          <w:b/>
          <w:sz w:val="28"/>
        </w:rPr>
        <w:t>АВТОМАТИЗОВАНА СИСТЕМА</w:t>
      </w:r>
    </w:p>
    <w:p>
      <w:pPr>
        <w:jc w:val="center"/>
      </w:pPr>
      <w:r>
        <w:rPr>
          <w:b/>
          <w:sz w:val="32"/>
        </w:rPr>
        <w:t>«Інтеграційний шар (агентна шина подій) ОЕС України»</w:t>
      </w:r>
    </w:p>
    <w:p>
      <w:pPr>
        <w:jc w:val="center"/>
      </w:pPr>
      <w:r>
        <w:rPr>
          <w:b w:val="0"/>
          <w:sz w:val="24"/>
        </w:rPr>
        <w:t>(ІШ ОЕС)</w:t>
      </w:r>
    </w:p>
    <w:p>
      <w:pPr>
        <w:jc w:val="center"/>
      </w:pPr>
      <w:r>
        <w:rPr>
          <w:b w:val="0"/>
          <w:sz w:val="24"/>
        </w:rPr>
      </w:r>
    </w:p>
    <w:p>
      <w:pPr>
        <w:jc w:val="center"/>
      </w:pPr>
      <w:r>
        <w:rPr>
          <w:b/>
          <w:sz w:val="30"/>
        </w:rPr>
        <w:t>ТЕХНІЧНЕ ЗАВДАННЯ (рамкове, опціональне)</w:t>
        <w:br/>
        <w:t>на створення інтеграційного шару</w:t>
      </w:r>
    </w:p>
    <w:p/>
    <w:p/>
    <w:p>
      <w:pPr>
        <w:jc w:val="center"/>
      </w:pPr>
      <w:r>
        <w:rPr>
          <w:sz w:val="22"/>
        </w:rPr>
        <w:t>Позначення документа: UE-BUS.ТЗ</w:t>
      </w:r>
    </w:p>
    <w:p>
      <w:pPr>
        <w:jc w:val="center"/>
      </w:pPr>
      <w:r>
        <w:rPr>
          <w:sz w:val="22"/>
        </w:rPr>
        <w:t>Кількість аркушів: ____</w:t>
      </w:r>
    </w:p>
    <w:p>
      <w:pPr>
        <w:jc w:val="center"/>
      </w:pPr>
      <w:r>
        <w:rPr>
          <w:sz w:val="22"/>
        </w:rPr>
        <w:t>Редакція: 1.0</w:t>
      </w:r>
    </w:p>
    <w:p/>
    <w:p/>
    <w:p>
      <w:pPr>
        <w:ind w:firstLine="0"/>
        <w:jc w:val="center"/>
      </w:pPr>
      <w:r>
        <w:rPr>
          <w:b/>
          <w:sz w:val="22"/>
        </w:rPr>
        <w:t>ПРИВАТНЕ АКЦІОНЕРНЕ ТОВАРИСТВО «НАЦІОНАЛЬНА ЕНЕРГЕТИЧНА КОМПАНІЯ «УКРЕНЕРГО»</w:t>
      </w:r>
    </w:p>
    <w:p>
      <w:pPr>
        <w:ind w:firstLine="0"/>
        <w:jc w:val="center"/>
      </w:pPr>
      <w:r>
        <w:rPr>
          <w:i/>
          <w:sz w:val="20"/>
        </w:rPr>
        <w:t>Замовник: ПрАТ «НЕК «УКРЕНЕРГО» · код ЄДРПОУ 00100227 · 01032, м. Київ, вул. Симона Петлюри, 25</w:t>
      </w:r>
    </w:p>
    <w:p/>
    <w:p/>
    <w:p>
      <w:pPr>
        <w:ind w:firstLine="0"/>
        <w:jc w:val="center"/>
      </w:pPr>
      <w:r>
        <w:rPr>
          <w:sz w:val="24"/>
        </w:rPr>
        <w:t>Київ</w:t>
      </w:r>
    </w:p>
    <w:p>
      <w:pPr>
        <w:ind w:firstLine="0"/>
        <w:jc w:val="center"/>
      </w:pPr>
      <w:r>
        <w:rPr>
          <w:sz w:val="24"/>
        </w:rPr>
        <w:t>2026</w:t>
      </w:r>
    </w:p>
    <w:p>
      <w:r>
        <w:br w:type="page"/>
      </w:r>
    </w:p>
    <w:p>
      <w:pPr>
        <w:pStyle w:val="Heading1"/>
      </w:pPr>
      <w:r>
        <w:t>1. ЗАГАЛЬНІ ВІДОМОСТІ</w:t>
      </w:r>
    </w:p>
    <w:p/>
    <w:p>
      <w:pPr>
        <w:pStyle w:val="Heading2"/>
      </w:pPr>
      <w:r>
        <w:t>1.1. Найменування рішення</w:t>
      </w:r>
    </w:p>
    <w:p>
      <w:r>
        <w:t>Повне найменування: Інтеграційний шар об'єднаної енергосистеми України (агентна шина подій).</w:t>
      </w:r>
    </w:p>
    <w:p>
      <w:r>
        <w:t>Скорочене найменування: ІШ ОЕС (далі — Інтеграційний шар, Шина).</w:t>
      </w:r>
    </w:p>
    <w:p/>
    <w:p>
      <w:pPr>
        <w:pStyle w:val="Heading2"/>
      </w:pPr>
      <w:r>
        <w:t>1.2. Статус рішення (ключове застереження)</w:t>
      </w:r>
    </w:p>
    <w:p>
      <w:r>
        <w:t>Інтеграційний шар постачається як окреме додаткове рішення (опціональна надбудова) і НЕ є обов'язковим. Це не самостійний продукт і не четвертий двійник: Шина не містить власної предметної моделі ОЕС, не генерує сценаріїв і не виробляє прогнозів — вона лише з'єднує вже наявні самостійні продукти A1, A2, A3 у керований потік подій.</w:t>
      </w:r>
    </w:p>
    <w:p/>
    <w:p>
      <w:r>
        <w:t>Кожен із продуктів A1, A2, A3 є самостійним і повністю працездатним без Інтеграційного шару. Придбання Шини має сенс лише тоді, коли Замовник уже володіє двома або більше продуктами (A1+A2, A2+A3, A1+A3 або всіма трьома) і бажає з'єднати їх. Якщо встановлено лише один продукт — Шина не активується і не потрібна.</w:t>
      </w:r>
    </w:p>
    <w:p/>
    <w:p>
      <w:r>
        <w:t>Рішення постачається з повною передачею Замовнику без залежності від розробника. Інтеграція через Шину для кожного окремого продукту є опціональною: відключення Шини повертає кожен продукт до автономного режиму без втрати його основної функціональності.</w:t>
      </w:r>
    </w:p>
    <w:p/>
    <w:p>
      <w:pPr>
        <w:pStyle w:val="Heading2"/>
      </w:pPr>
      <w:r>
        <w:t>1.3. Ціннісна пропозиція (апсейл)</w:t>
      </w:r>
    </w:p>
    <w:p>
      <w:r>
        <w:t>Кожен продукт самодостатній, але з'єднання через Шину робить кожен із них розумнішим за рахунок контексту сусіда:</w:t>
      </w:r>
    </w:p>
    <w:p>
      <w:pPr>
        <w:pStyle w:val="ListBullet"/>
      </w:pPr>
      <w:r>
        <w:t>A1 дізнається від A2 ринковий контекст фізичної аномалії (виявлений A1 нетиповий переток отримує пояснення «чи стоїть за ним ринкова подія/маніпуляція»);</w:t>
      </w:r>
    </w:p>
    <w:p>
      <w:pPr>
        <w:pStyle w:val="ListBullet"/>
      </w:pPr>
      <w:r>
        <w:t>A2 дізнається від A1 фізичний контекст цінового стрибка (підозрілий ціновий рух на РСВ/ВСР звіряється з фізичним станом мережі — чи був реальний дефіцит/обмеження перетоку);</w:t>
      </w:r>
    </w:p>
    <w:p>
      <w:pPr>
        <w:pStyle w:val="ListBullet"/>
      </w:pPr>
      <w:r>
        <w:t>A3 реактивно перераховує прогноз втрат і закупівельну потребу при сигналах A1 (зміна режиму/топології) або A2 (зсув цінового сценарію компенсації), не чекаючи планового циклу.</w:t>
      </w:r>
    </w:p>
    <w:p/>
    <w:p>
      <w:r>
        <w:t>Інваріант «щит = меч» діє і на рівні Шини: подія, що для одного продукту є діагностичним щитом, для з'єднаної системи стає мечем — раннім сигналом для суміжного контуру.</w:t>
      </w:r>
    </w:p>
    <w:p/>
    <w:p>
      <w:pPr>
        <w:pStyle w:val="Heading2"/>
      </w:pPr>
      <w:r>
        <w:t>1.4. Замовник та виконавець</w:t>
      </w:r>
    </w:p>
    <w:p>
      <w:r>
        <w:t>Замовник: НЕК «Укренерго». Виконавець: визначається за результатами процедури закупівлі.</w:t>
      </w:r>
    </w:p>
    <w:p/>
    <w:p>
      <w:pPr>
        <w:pStyle w:val="Heading2"/>
      </w:pPr>
      <w:r>
        <w:t>1.5. Підстава для розроблення</w:t>
      </w:r>
    </w:p>
    <w:p>
      <w:r>
        <w:t>Підставою є рішення Замовника про з'єднання двох і більше раніше придбаних продуктів (A1/A2/A3) у єдиний контур подієвого обміну. Реквізити (договір/допсоглашення) — у картці теми. Допсоглашення на Шину укладається окремо від договорів на продукти.</w:t>
      </w:r>
    </w:p>
    <w:p/>
    <w:p>
      <w:pPr>
        <w:pStyle w:val="Heading2"/>
      </w:pPr>
      <w:r>
        <w:t>1.6. Планові терміни</w:t>
      </w:r>
    </w:p>
    <w:p>
      <w:r>
        <w:t>Визначаються календарним планом (розділ 5). Роботи — у два етапи: Етап-1 (MVP) та Етап-2 (повна система).</w:t>
      </w:r>
    </w:p>
    <w:p/>
    <w:p/>
    <w:p>
      <w:pPr>
        <w:pStyle w:val="Heading1"/>
      </w:pPr>
      <w:r>
        <w:t>2. ПРИЗНАЧЕННЯ ТА ЦІЛІ СТВОРЕННЯ</w:t>
      </w:r>
    </w:p>
    <w:p/>
    <w:p>
      <w:pPr>
        <w:pStyle w:val="Heading2"/>
      </w:pPr>
      <w:r>
        <w:t>2.1. Призначення</w:t>
      </w:r>
    </w:p>
    <w:p>
      <w:r>
        <w:t>Інтеграційний шар призначений для надійного, керованого та повністю журнальованого обміну подіями між самостійними продуктами A1, A2, A3 з дотриманням наскрізного розмежування доступу. Шина перетворює три незалежні аналітичні контури на узгоджену систему, де знахідка одного продукту стає контекстним входом для іншого, не порушуючи автономності та грифу жодного з них.</w:t>
      </w:r>
    </w:p>
    <w:p/>
    <w:p>
      <w:pPr>
        <w:pStyle w:val="Heading2"/>
      </w:pPr>
      <w:r>
        <w:t>2.2. Цілі</w:t>
      </w:r>
    </w:p>
    <w:p>
      <w:pPr>
        <w:pStyle w:val="ListBullet"/>
      </w:pPr>
      <w:r>
        <w:t>забезпечити слабозв'язану публікацію/підписку подій між продуктами через версіоновані контракти, без прямої залежності продуктів один від одного у коді;</w:t>
      </w:r>
    </w:p>
    <w:p>
      <w:pPr>
        <w:pStyle w:val="ListBullet"/>
      </w:pPr>
      <w:r>
        <w:t>збагатити кожен продукт контекстом сусіда (див. 1.3) для підвищення достовірності висновків;</w:t>
      </w:r>
    </w:p>
    <w:p>
      <w:pPr>
        <w:pStyle w:val="ListBullet"/>
      </w:pPr>
      <w:r>
        <w:t>забезпечити реактивний перерахунок A3 за сигналами A1/A2;</w:t>
      </w:r>
    </w:p>
    <w:p>
      <w:pPr>
        <w:pStyle w:val="ListBullet"/>
      </w:pPr>
      <w:r>
        <w:t>зберегти повну автономність кожного продукту: відмова Шини або будь-якого продукту не повинна виводити з ладу інші (graceful degradation до автономного режиму);</w:t>
      </w:r>
    </w:p>
    <w:p>
      <w:pPr>
        <w:pStyle w:val="ListBullet"/>
      </w:pPr>
      <w:r>
        <w:t>забезпечити наскрізний RBAC та незмінний аудит міжпродуктового обміну.</w:t>
      </w:r>
    </w:p>
    <w:p/>
    <w:p>
      <w:pPr>
        <w:pStyle w:val="Heading2"/>
      </w:pPr>
      <w:r>
        <w:t>2.3. Критерії досягнення цілей</w:t>
      </w:r>
    </w:p>
    <w:p>
      <w:pPr>
        <w:pStyle w:val="ListBullet"/>
      </w:pPr>
      <w:r>
        <w:t>кожен продукт продовжує штатно працювати при вимкненій Шині (перевіряється явним тестом деградації);</w:t>
      </w:r>
    </w:p>
    <w:p>
      <w:pPr>
        <w:pStyle w:val="ListBullet"/>
      </w:pPr>
      <w:r>
        <w:t>подія, опублікована продуктом-джерелом, доставляється підписникам у межах цільового часу та з повним трасуванням;</w:t>
      </w:r>
    </w:p>
    <w:p>
      <w:pPr>
        <w:pStyle w:val="ListBullet"/>
      </w:pPr>
      <w:r>
        <w:t>жодна подія не перетинає межу допуску всупереч RBAC (див. 4.4);</w:t>
      </w:r>
    </w:p>
    <w:p>
      <w:pPr>
        <w:pStyle w:val="ListBullet"/>
      </w:pPr>
      <w:r>
        <w:t>демонстрація наскрізного сценарію A1→Шина→A2→A3 (розділ 2.4) на синтетиці/відкритих даних.</w:t>
      </w:r>
    </w:p>
    <w:p/>
    <w:p>
      <w:pPr>
        <w:pStyle w:val="Heading2"/>
      </w:pPr>
      <w:r>
        <w:t>2.4. Наскрізний сценарій-демонстрація цінності (A1 → Шина → A2 → A3)</w:t>
      </w:r>
    </w:p>
    <w:p>
      <w:r>
        <w:t>Демонстраційний потік, що показує сенс з'єднання трьох продуктів:</w:t>
      </w:r>
    </w:p>
    <w:p/>
    <w:p>
      <w:pPr>
        <w:pStyle w:val="ListNumber"/>
      </w:pPr>
      <w:r>
        <w:t>A1 (фізика) під час масової прогонки сценаріїв виявляє аномальний переток у перерізі мережі 750 кВ — режим, що відхиляється від очікуваного. A1 формує подію `physical.anomaly.detected` (час, переріз, ступінь відхилення, режимний контекст) і публікує її в Шину.</w:t>
      </w:r>
    </w:p>
    <w:p>
      <w:pPr>
        <w:pStyle w:val="ListNumber"/>
      </w:pPr>
      <w:r>
        <w:t>Шина перевіряє права джерела й підписників, маркує подію (data_origin, гриф), журналює та доставляє підписникам — A2 і A3.</w:t>
      </w:r>
    </w:p>
    <w:p>
      <w:pPr>
        <w:pStyle w:val="ListNumber"/>
      </w:pPr>
      <w:r>
        <w:t>A2 (ринок), отримавши `physical.anomaly.detected`, звіряє вікно часу з власними даними РСВ/ВСР: чи супроводжувався аномальний переток нетиповою ринковою поведінкою (заявки, цінові стрибки). Якщо так — A2 збагачує власне розслідування фізичним контекстом («ціновий стрибок підкріплений реальним фізичним обмеженням» або навпаки «фізичної підстави немає — підозра на маніпуляцію») і публікує `market.context.assessed`.</w:t>
      </w:r>
    </w:p>
    <w:p>
      <w:pPr>
        <w:pStyle w:val="ListNumber"/>
      </w:pPr>
      <w:r>
        <w:t>A1, отримавши зворотну подію `market.context.assessed`, додає ринкову атрибуцію до своєї аномалії (щит↔меч: фізичний сигнал отримав ринкове пояснення).</w:t>
      </w:r>
    </w:p>
    <w:p>
      <w:pPr>
        <w:pStyle w:val="ListNumber"/>
      </w:pPr>
      <w:r>
        <w:t>A3 (втрати/закупівлі), підписаний і на `physical.anomaly.detected`, і на `market.context.assessed`, реактивно перераховує прогноз технологічних втрат і закупівельну потребу: змінений режим перетоків впливає на I²R-складову, а оновлений ринковий сценарій — на вартісну оцінку компенсації. A3 публікує `forecast.recomputed`.</w:t>
      </w:r>
    </w:p>
    <w:p>
      <w:pPr>
        <w:pStyle w:val="ListNumber"/>
      </w:pPr>
      <w:r>
        <w:t>Усі кроки потрапляють у наскрізний журнал кореляції (один correlation_id на весь ланцюг) — будь-який аналітик у межах своїх прав може відтворити причинно-наслідковий ланцюг.</w:t>
      </w:r>
    </w:p>
    <w:p/>
    <w:p>
      <w:r>
        <w:t>Цей сценарій є обов'язковою демонстрацією приймання Шини (розділ 6) і водночас наочно показує апсейл: жоден із продуктів окремо такого збагаченого висновку не дає.</w:t>
      </w:r>
    </w:p>
    <w:p/>
    <w:p/>
    <w:p>
      <w:pPr>
        <w:pStyle w:val="Heading1"/>
      </w:pPr>
      <w:r>
        <w:t>3. ХАРАКТЕРИСТИКА ОБ'ЄКТІВ АВТОМАТИЗАЦІЇ</w:t>
      </w:r>
    </w:p>
    <w:p/>
    <w:p>
      <w:pPr>
        <w:pStyle w:val="Heading2"/>
      </w:pPr>
      <w:r>
        <w:t>3.1. Об'єкти автоматизації</w:t>
      </w:r>
    </w:p>
    <w:p>
      <w:r>
        <w:t>Об'єктом автоматизації є міжпродуктовий обмін — потоки подій, контексту й сигналів між самостійними продуктами A1, A2, A3. Сама предметна область (мережа, ринок, втрати) залишається в межах відповідних продуктів; Шина оперує лише їхніми контрактними подіями.</w:t>
      </w:r>
    </w:p>
    <w:p/>
    <w:p>
      <w:pPr>
        <w:pStyle w:val="Heading2"/>
      </w:pPr>
      <w:r>
        <w:t>3.2. Учасники обміну</w:t>
      </w:r>
    </w:p>
    <w:p>
      <w:pPr>
        <w:pStyle w:val="ListBullet"/>
      </w:pPr>
      <w:r>
        <w:t>A1 — Фізичний двійник ОЕС: джерело подій про режим/аномалії перетоків і топологію; споживач ринкового контексту від A2.</w:t>
      </w:r>
    </w:p>
    <w:p>
      <w:pPr>
        <w:pStyle w:val="ListBullet"/>
      </w:pPr>
      <w:r>
        <w:t>A2 — Нагляд РСВ/ВСР: джерело подій про ринкові аномалії/контекст; споживач фізичного контексту від A1.</w:t>
      </w:r>
    </w:p>
    <w:p>
      <w:pPr>
        <w:pStyle w:val="ListBullet"/>
      </w:pPr>
      <w:r>
        <w:t>A3 — Прогноз втрат і закупівель: переважно споживач (реактивний перерахунок за сигналами A1/A2); джерело подій про оновлені прогнози/потребу.</w:t>
      </w:r>
    </w:p>
    <w:p>
      <w:r>
        <w:t>Склад учасників визначається набором фактично придбаних Замовником продуктів. Шина конфігурується під наявний набір (2 або 3 продукти).</w:t>
      </w:r>
    </w:p>
    <w:p/>
    <w:p>
      <w:pPr>
        <w:pStyle w:val="Heading2"/>
      </w:pPr>
      <w:r>
        <w:t>3.3. Розмітка даних подій</w:t>
      </w:r>
    </w:p>
    <w:p>
      <w:r>
        <w:t>Кожна подія несе обов'язкову розмітку data_origin (SYNTHETIC / OPEN_DATA / NDA_CALIBRATED) та гриф. Подія з вищим грифом не може бути доставлена підписнику нижчого контуру (див. 4.4). Розмітка успадковується по ланцюгу: збагачена подія отримує найвищий гриф зі складових.</w:t>
      </w:r>
    </w:p>
    <w:p/>
    <w:p>
      <w:pPr>
        <w:pStyle w:val="Heading2"/>
      </w:pPr>
      <w:r>
        <w:t>3.4. Умови експлуатації</w:t>
      </w:r>
    </w:p>
    <w:p>
      <w:r>
        <w:t>Етап-1 — несекретний контур, лише події з data_origin = SYNTHETIC/OPEN_DATA. Етап-2 — у складі КСЗІ Замовника на захищеному (за потреби ізольованому) контурі; Шина не виводить секретні дані за межі атестованого периметра.</w:t>
      </w:r>
    </w:p>
    <w:p/>
    <w:p/>
    <w:p>
      <w:pPr>
        <w:pStyle w:val="Heading1"/>
      </w:pPr>
      <w:r>
        <w:t>4. ВИМОГИ ДО СИСТЕМИ</w:t>
      </w:r>
    </w:p>
    <w:p/>
    <w:p>
      <w:pPr>
        <w:pStyle w:val="Heading2"/>
      </w:pPr>
      <w:r>
        <w:t>4.1. Загальносистемні вимоги</w:t>
      </w:r>
    </w:p>
    <w:p>
      <w:pPr>
        <w:pStyle w:val="ListBullet"/>
      </w:pPr>
      <w:r>
        <w:t>4.1.1. Опціональність та автономність. Шина є зовнішньою надбудовою над продуктами. Кожен продукт зберігає повну працездатність без Шини; інтеграційні адаптери продуктів проектуються так, щоб їх відсутність/відключення не впливала на ядро продукту.</w:t>
      </w:r>
    </w:p>
    <w:p>
      <w:pPr>
        <w:pStyle w:val="ListBullet"/>
      </w:pPr>
      <w:r>
        <w:t>4.1.2. Слабка зв'язаність (pub/sub). Продукти не звертаються один до одного напряму. Обмін — лише через публікацію/підписку на типізовані події з версіонованими контрактами. Додавання/вилучення продукту не потребує зміни коду інших продуктів.</w:t>
      </w:r>
    </w:p>
    <w:p>
      <w:pPr>
        <w:pStyle w:val="ListBullet"/>
      </w:pPr>
      <w:r>
        <w:t>4.1.3. Контракти подій. Кожен тип події має формальну схему (назва, версія, поля, гриф-політика). Зміна контракту — лише з підвищенням версії та зворотною сумісністю в межах мажорної версії.</w:t>
      </w:r>
    </w:p>
    <w:p>
      <w:pPr>
        <w:pStyle w:val="ListBullet"/>
      </w:pPr>
      <w:r>
        <w:t>4.1.4. Graceful degradation. Недоступність Шини або підписника → продукт-джерело продовжує роботу, події буферизуються/відкидаються за політикою, без блокування продукту. Відновлення Шини → штатне продовження; стан явно маркується.</w:t>
      </w:r>
    </w:p>
    <w:p>
      <w:pPr>
        <w:pStyle w:val="ListBullet"/>
      </w:pPr>
      <w:r>
        <w:t>4.1.5. Ідемпотентність і кореляція. Кожна подія має унікальний ідентифікатор і correlation_id ланцюга; повторна доставка не призводить до подвійного перерахунку.</w:t>
      </w:r>
    </w:p>
    <w:p>
      <w:pPr>
        <w:pStyle w:val="ListBullet"/>
      </w:pPr>
      <w:r>
        <w:t>4.1.6. Масштабованість. Шина витримує зростання кількості подій без втрати порядку в межах одного логічного потоку.</w:t>
      </w:r>
    </w:p>
    <w:p/>
    <w:p>
      <w:pPr>
        <w:pStyle w:val="Heading2"/>
      </w:pPr>
      <w:r>
        <w:t>4.2. Вимоги до видів забезпечення</w:t>
      </w:r>
    </w:p>
    <w:p>
      <w:pPr>
        <w:pStyle w:val="ListBullet"/>
      </w:pPr>
      <w:r>
        <w:t>Інформаційне: реєстр контрактів подій, журнал кореляції, каталог підписок з грифами та правами.</w:t>
      </w:r>
    </w:p>
    <w:p>
      <w:pPr>
        <w:pStyle w:val="ListBullet"/>
      </w:pPr>
      <w:r>
        <w:t>Програмне: брокер/маршрутизатор подій, легкі адаптери на боці кожного продукту, сервіс наскрізного аудиту.</w:t>
      </w:r>
    </w:p>
    <w:p>
      <w:pPr>
        <w:pStyle w:val="ListBullet"/>
      </w:pPr>
      <w:r>
        <w:t>Лінгвістичне: повідомлення про події та пояснення агентів — українською; агент-бібліотекар Шини відповідає на запити про міжпродуктові ланцюги (NL→SQL) у межах прав користувача.</w:t>
      </w:r>
    </w:p>
    <w:p>
      <w:pPr>
        <w:pStyle w:val="ListBullet"/>
      </w:pPr>
      <w:r>
        <w:t>Технічне: обчислювальний ресурс під брокер; для Етапу-2 — у межах атестованого КСЗІ-контуру.</w:t>
      </w:r>
    </w:p>
    <w:p>
      <w:pPr>
        <w:pStyle w:val="ListBullet"/>
      </w:pPr>
      <w:r>
        <w:t>Організаційне: регламент узгодження контрактів подій між власниками продуктів; матриця наскрізних допусків.</w:t>
      </w:r>
    </w:p>
    <w:p/>
    <w:p>
      <w:pPr>
        <w:pStyle w:val="Heading2"/>
      </w:pPr>
      <w:r>
        <w:t>4.3. Функціональні вимоги (з деталізацією)</w:t>
      </w:r>
    </w:p>
    <w:p/>
    <w:p>
      <w:pPr>
        <w:pStyle w:val="Heading3"/>
      </w:pPr>
      <w:r>
        <w:t>4.3.1. Функція «Реєстр контрактів подій»</w:t>
      </w:r>
    </w:p>
    <w:p>
      <w:r>
        <w:t>Призначення. Єдине джерело правди про типи подій, якими обмінюються продукти.</w:t>
      </w:r>
    </w:p>
    <w:p>
      <w:r>
        <w:t>Вхід: декларація типу події від продукту-джерела (схема, версія, гриф-політика).</w:t>
      </w:r>
    </w:p>
    <w:p>
      <w:r>
        <w:t>Вихід: затверджений версіонований контракт, доступний підписникам.</w:t>
      </w:r>
    </w:p>
    <w:p>
      <w:r>
        <w:t>Взаємодія з агентом: агент перевіряє сумісність нової версії й сигналізує про порушення зворотної сумісності.</w:t>
      </w:r>
    </w:p>
    <w:p>
      <w:r>
        <w:t>Вимоги:</w:t>
      </w:r>
    </w:p>
    <w:p>
      <w:pPr>
        <w:pStyle w:val="ListBullet"/>
      </w:pPr>
      <w:r>
        <w:t>FR-BUS-1.1. Кожна публікована подія валідовується за зареєстрованою схемою; невалідна подія відхиляється й журналюється.</w:t>
      </w:r>
    </w:p>
    <w:p>
      <w:pPr>
        <w:pStyle w:val="ListBullet"/>
      </w:pPr>
      <w:r>
        <w:t>FR-BUS-1.2. Підтримка щонайменше базового набору типів: `physical.anomaly.detected`, `market.context.assessed`, `forecast.recomputed` (розширюється під набір продуктів).</w:t>
      </w:r>
    </w:p>
    <w:p>
      <w:pPr>
        <w:pStyle w:val="ListBullet"/>
      </w:pPr>
      <w:r>
        <w:t>FR-BUS-1.3. Зміна контракту — лише з версіонуванням; старі підписники не ламаються в межах мажорної версії.</w:t>
      </w:r>
    </w:p>
    <w:p/>
    <w:p>
      <w:pPr>
        <w:pStyle w:val="Heading3"/>
      </w:pPr>
      <w:r>
        <w:t>4.3.2. Функція «Маршрутизація публікація/підписка»</w:t>
      </w:r>
    </w:p>
    <w:p>
      <w:r>
        <w:t>Призначення. Доставити подію джерела всім уповноваженим підписникам.</w:t>
      </w:r>
    </w:p>
    <w:p>
      <w:r>
        <w:t>Вхід: подія від продукту + список підписок.</w:t>
      </w:r>
    </w:p>
    <w:p>
      <w:r>
        <w:t>Вихід: доставлені події з підтвердженням; недоставлені — у журнал із причиною.</w:t>
      </w:r>
    </w:p>
    <w:p>
      <w:r>
        <w:t>Вимоги:</w:t>
      </w:r>
    </w:p>
    <w:p>
      <w:pPr>
        <w:pStyle w:val="ListBullet"/>
      </w:pPr>
      <w:r>
        <w:t>FR-BUS-2.1. Доставка лише підписникам, що мають право на гриф і контур події (звірка з RBAC до доставки, не після).</w:t>
      </w:r>
    </w:p>
    <w:p>
      <w:pPr>
        <w:pStyle w:val="ListBullet"/>
      </w:pPr>
      <w:r>
        <w:t>FR-BUS-2.2. Збереження порядку подій у межах одного correlation_id.</w:t>
      </w:r>
    </w:p>
    <w:p>
      <w:pPr>
        <w:pStyle w:val="ListBullet"/>
      </w:pPr>
      <w:r>
        <w:t>FR-BUS-2.3. Підтримка реактивного тригера: подія A1/A2 ініціює перерахунок у A3 (FR-BUS — звʼязок зі сценарієм 2.4).</w:t>
      </w:r>
    </w:p>
    <w:p/>
    <w:p>
      <w:pPr>
        <w:pStyle w:val="Heading3"/>
      </w:pPr>
      <w:r>
        <w:t>4.3.3. Функція «Збагачення контекстом сусіда»</w:t>
      </w:r>
    </w:p>
    <w:p>
      <w:r>
        <w:t>Призначення. Реалізувати взаємне підсилення продуктів (1.3).</w:t>
      </w:r>
    </w:p>
    <w:p>
      <w:r>
        <w:t>Вхід: вихідна подія продукту-джерела.</w:t>
      </w:r>
    </w:p>
    <w:p>
      <w:r>
        <w:t>Вихід: збагачена подія/атрибуція у продукті-споживачі.</w:t>
      </w:r>
    </w:p>
    <w:p>
      <w:r>
        <w:t>Вимоги:</w:t>
      </w:r>
    </w:p>
    <w:p>
      <w:pPr>
        <w:pStyle w:val="ListBullet"/>
      </w:pPr>
      <w:r>
        <w:t>FR-BUS-3.1. A1↔A2: фізична аномалія отримує ринкову атрибуцію, ринкова аномалія — фізичну звірку; результат повертається джерелу окремою подією.</w:t>
      </w:r>
    </w:p>
    <w:p>
      <w:pPr>
        <w:pStyle w:val="ListBullet"/>
      </w:pPr>
      <w:r>
        <w:t>FR-BUS-3.2. A3 при отриманні сигналу A1 (зміна режиму) або A2 (зміна цінового сценарію) ставить у чергу реактивний перерахунок поза плановим циклом і маркує результат як «реактивний».</w:t>
      </w:r>
    </w:p>
    <w:p>
      <w:pPr>
        <w:pStyle w:val="ListBullet"/>
      </w:pPr>
      <w:r>
        <w:t>FR-BUS-3.3. Збагачена подія успадковує найвищий гриф зі складових (3.3).</w:t>
      </w:r>
    </w:p>
    <w:p/>
    <w:p>
      <w:pPr>
        <w:pStyle w:val="Heading3"/>
      </w:pPr>
      <w:r>
        <w:t>4.3.4. Функція «Наскрізний журнал кореляції та агент-бібліотекар Шини»</w:t>
      </w:r>
    </w:p>
    <w:p>
      <w:r>
        <w:t>Призначення. Відтворюваність причинно-наслідкових ланцюгів між продуктами.</w:t>
      </w:r>
    </w:p>
    <w:p>
      <w:r>
        <w:t>Вхід: усі події ланцюга з єдиним correlation_id.</w:t>
      </w:r>
    </w:p>
    <w:p>
      <w:r>
        <w:t>Вихід: відтворюваний ланцюг; відповіді на NL-запити аналітика.</w:t>
      </w:r>
    </w:p>
    <w:p>
      <w:r>
        <w:t>Вимоги:</w:t>
      </w:r>
    </w:p>
    <w:p>
      <w:pPr>
        <w:pStyle w:val="ListBullet"/>
      </w:pPr>
      <w:r>
        <w:t>FR-BUS-4.1. Кожен ланцюг (напр., сценарій 2.4) відновлюється повністю за correlation_id.</w:t>
      </w:r>
    </w:p>
    <w:p>
      <w:pPr>
        <w:pStyle w:val="ListBullet"/>
      </w:pPr>
      <w:r>
        <w:t>FR-BUS-4.2. Агент-бібліотекар Шини відповідає на запити природною українською («покажи всі фізичні аномалії A1, що отримали ринкове пояснення A2 за добу») з генерацією SQL; кожен запит підпорядкований наскрізному RBAC (row/column-level).</w:t>
      </w:r>
    </w:p>
    <w:p>
      <w:pPr>
        <w:pStyle w:val="ListBullet"/>
      </w:pPr>
      <w:r>
        <w:t>FR-BUS-4.3. Журнал незмінний (append-only), усі доставки й відмови логуються (інваріант «щит»).</w:t>
      </w:r>
    </w:p>
    <w:p/>
    <w:p>
      <w:pPr>
        <w:pStyle w:val="Heading3"/>
      </w:pPr>
      <w:r>
        <w:t>4.3.5. Функція «Деградація та автономність»</w:t>
      </w:r>
    </w:p>
    <w:p>
      <w:r>
        <w:t>Вимоги:</w:t>
      </w:r>
    </w:p>
    <w:p>
      <w:pPr>
        <w:pStyle w:val="ListBullet"/>
      </w:pPr>
      <w:r>
        <w:t>FR-BUS-5.1. Тест автономності: при вимкненій Шині кожен продукт демонструє повну власну функціональність.</w:t>
      </w:r>
    </w:p>
    <w:p>
      <w:pPr>
        <w:pStyle w:val="ListBullet"/>
      </w:pPr>
      <w:r>
        <w:t>FR-BUS-5.2. При відмові підписника події буферизуються/відкидаються за заданою політикою без блокування джерела.</w:t>
      </w:r>
    </w:p>
    <w:p/>
    <w:p>
      <w:pPr>
        <w:pStyle w:val="Heading2"/>
      </w:pPr>
      <w:r>
        <w:t>4.4. Наскрізний RBAC (з урахуванням роздільних допусків)</w:t>
      </w:r>
    </w:p>
    <w:p>
      <w:pPr>
        <w:pStyle w:val="ListBullet"/>
      </w:pPr>
      <w:r>
        <w:t>4.4.1. RBAC = ДНК і на рівні Шини. Розмежування доступу вбудоване в маршрутизацію: подія перевіряється на право доставки до кожного підписника на кожній операції, а не зовнішнім екраном.</w:t>
      </w:r>
    </w:p>
    <w:p>
      <w:pPr>
        <w:pStyle w:val="ListBullet"/>
      </w:pPr>
      <w:r>
        <w:t>4.4.2. Роздільні допуски. Допуск користувача до A1 не означає допуску до A2 чи A3. Шина не «зливає» доступ між продуктами: користувач, що бачить фізичну аномалію A1, не отримує через Шину ринкові деталі A2, якщо не має окремого допуску до A2. Доставляється лише той зріз/атрибуція, на який у споживача є право.</w:t>
      </w:r>
    </w:p>
    <w:p>
      <w:pPr>
        <w:pStyle w:val="ListBullet"/>
      </w:pPr>
      <w:r>
        <w:t>4.4.3. Збагачена подія показується користувачу в обсязі перетину його допусків: за наявності допуску лише до A1 він бачить факт «є ринкова атрибуція», але не її захищений вміст, якщо немає допуску до A2.</w:t>
      </w:r>
    </w:p>
    <w:p>
      <w:pPr>
        <w:pStyle w:val="ListBullet"/>
      </w:pPr>
      <w:r>
        <w:t>4.4.4. Гриф-бар'єр. Подія Етапу-2 («цілком таємно») не доставляється в несекретний контур; перехід між контурами без перенесення секретних даних.</w:t>
      </w:r>
    </w:p>
    <w:p>
      <w:pPr>
        <w:pStyle w:val="ListBullet"/>
      </w:pPr>
      <w:r>
        <w:t>4.4.5. Аудит доступу. Кожне рішення «доставити/відхилити» журналюється з підставою (роль, допуск, гриф).</w:t>
      </w:r>
    </w:p>
    <w:p/>
    <w:p>
      <w:pPr>
        <w:pStyle w:val="Heading2"/>
      </w:pPr>
      <w:r>
        <w:t>4.5. Вимоги до надійності та безпеки</w:t>
      </w:r>
    </w:p>
    <w:p>
      <w:pPr>
        <w:pStyle w:val="ListBullet"/>
      </w:pPr>
      <w:r>
        <w:t>Відмовостійкість: ізоляція збоїв; відмова Шини не виводить з ладу продукти (4.1.4).</w:t>
      </w:r>
    </w:p>
    <w:p>
      <w:pPr>
        <w:pStyle w:val="ListBullet"/>
      </w:pPr>
      <w:r>
        <w:t>Відтворюваність: кожен міжпродуктовий висновок простежуваний до вихідних подій і correlation_id.</w:t>
      </w:r>
    </w:p>
    <w:p>
      <w:pPr>
        <w:pStyle w:val="ListBullet"/>
      </w:pPr>
      <w:r>
        <w:t>Безпека: для Етапу-2 — у складі КСЗІ за НД ТЗІ; криптозахист каналів обміну, контроль доступу, реєстрація подій безпеки, повний аудит.</w:t>
      </w:r>
    </w:p>
    <w:p>
      <w:pPr>
        <w:pStyle w:val="ListBullet"/>
      </w:pPr>
      <w:r>
        <w:t>Двосторонність: модель загроз обов'язкова — оцінюється ризик зловживання міжпродуктовим каналом; експорт чутливих ланцюгів обмежено й журнальовано.</w:t>
      </w:r>
    </w:p>
    <w:p/>
    <w:p/>
    <w:p>
      <w:pPr>
        <w:pStyle w:val="Heading1"/>
      </w:pPr>
      <w:r>
        <w:t>5. СКЛАД І ЗМІСТ РОБІТ</w:t>
      </w:r>
    </w:p>
    <w:p/>
    <w:p>
      <w:pPr>
        <w:pStyle w:val="Heading2"/>
      </w:pPr>
      <w:r>
        <w:t>Етап-1. MVP (ДСК, синтетика + відкриті дані ENTSO-E, без держтаємниці)</w:t>
      </w:r>
    </w:p>
    <w:p>
      <w:pPr>
        <w:pStyle w:val="ListBullet"/>
      </w:pPr>
      <w:r>
        <w:t>Розроблення архітектури Шини, реєстру контрактів, наскрізного RBAC і журналу кореляції.</w:t>
      </w:r>
    </w:p>
    <w:p>
      <w:pPr>
        <w:pStyle w:val="ListBullet"/>
      </w:pPr>
      <w:r>
        <w:t>Реалізація адаптерів pub/sub для наявних продуктів (за набором придбаних: 2 або 3).</w:t>
      </w:r>
    </w:p>
    <w:p>
      <w:pPr>
        <w:pStyle w:val="ListBullet"/>
      </w:pPr>
      <w:r>
        <w:t>Реалізація базових типів подій (FR-BUS-1.2) і демонстрація наскрізного сценарію A1→Шина→A2→A3 (2.4) на data_origin = SYNTHETIC/OPEN_DATA.</w:t>
      </w:r>
    </w:p>
    <w:p>
      <w:pPr>
        <w:pStyle w:val="ListBullet"/>
      </w:pPr>
      <w:r>
        <w:t>Тест автономності (FR-BUS-5.1) і деградації.</w:t>
      </w:r>
    </w:p>
    <w:p>
      <w:pPr>
        <w:pStyle w:val="ListBullet"/>
      </w:pPr>
      <w:r>
        <w:t>Результат: працездатний MVP Шини у несекретному середовищі, демонстрація апсейл-сценарію, уточнене ТЗ на Етап-2.</w:t>
      </w:r>
    </w:p>
    <w:p/>
    <w:p>
      <w:pPr>
        <w:pStyle w:val="Heading2"/>
      </w:pPr>
      <w:r>
        <w:t>Етап-2. Повна система (NDA, «цілком таємно», КСЗІ)</w:t>
      </w:r>
    </w:p>
    <w:p>
      <w:pPr>
        <w:pStyle w:val="ListBullet"/>
      </w:pPr>
      <w:r>
        <w:t>Підключення реальних контурів продуктів під NDA на захищеному контурі.</w:t>
      </w:r>
    </w:p>
    <w:p>
      <w:pPr>
        <w:pStyle w:val="ListBullet"/>
      </w:pPr>
      <w:r>
        <w:t>Реалізація гриф-бар'єрів і роздільних допусків (4.4) на реальних даних; маркування NDA_CALIBRATED.</w:t>
      </w:r>
    </w:p>
    <w:p>
      <w:pPr>
        <w:pStyle w:val="ListBullet"/>
      </w:pPr>
      <w:r>
        <w:t>Побудова та атестація КСЗІ відповідно до НД ТЗІ для каналу міжпродуктового обміну.</w:t>
      </w:r>
    </w:p>
    <w:p>
      <w:pPr>
        <w:pStyle w:val="ListBullet"/>
      </w:pPr>
      <w:r>
        <w:t>Промислове впровадження, навчання адміністраторів наскрізного RBAC.</w:t>
      </w:r>
    </w:p>
    <w:p>
      <w:pPr>
        <w:pStyle w:val="ListBullet"/>
      </w:pPr>
      <w:r>
        <w:t>Результат: атестований інтеграційний контур у складі КСЗІ Замовника.</w:t>
      </w:r>
    </w:p>
    <w:p/>
    <w:p>
      <w:r>
        <w:t>Терміни кожного етапу — за календарним планом договору. Шина впроваджується лише після наявності у Замовника ≥2 продуктів.</w:t>
      </w:r>
    </w:p>
    <w:p/>
    <w:p/>
    <w:p>
      <w:pPr>
        <w:pStyle w:val="Heading1"/>
      </w:pPr>
      <w:r>
        <w:t>6. ПОРЯДОК КОНТРОЛЮ ТА ПРИЙМАННЯ</w:t>
      </w:r>
    </w:p>
    <w:p/>
    <w:p>
      <w:pPr>
        <w:pStyle w:val="ListBullet"/>
      </w:pPr>
      <w:r>
        <w:t>Види випробувань: попередні, дослідна експлуатація, приймальні — окремо для Етапу-1 і Етапу-2.</w:t>
      </w:r>
    </w:p>
    <w:p>
      <w:pPr>
        <w:pStyle w:val="ListBullet"/>
      </w:pPr>
      <w:r>
        <w:t>Обов'язкова умова приймання Етапу-1: успішна демонстрація наскрізного сценарію A1→Шина→A2→A3 (2.4) на синтетиці/відкритих даних з повним correlation-журналом.</w:t>
      </w:r>
    </w:p>
    <w:p>
      <w:pPr>
        <w:pStyle w:val="ListBullet"/>
      </w:pPr>
      <w:r>
        <w:t>Обов'язковий тест автономності (FR-BUS-5.1): при вимкненій Шині кожен підключений продукт зберігає повну функціональність — підтверджує необов'язковість Шини.</w:t>
      </w:r>
    </w:p>
    <w:p>
      <w:pPr>
        <w:pStyle w:val="ListBullet"/>
      </w:pPr>
      <w:r>
        <w:t>Перевірка наскрізного RBAC, зокрема роздільних допусків (4.4.2–4.4.3): подія не перетинає межу допуску.</w:t>
      </w:r>
    </w:p>
    <w:p>
      <w:pPr>
        <w:pStyle w:val="ListBullet"/>
      </w:pPr>
      <w:r>
        <w:t>Етап-2 приймається у складі атестованого КСЗІ-контуру за наявності позитивного висновку атестації та підтвердження відповідності НД ТЗІ.</w:t>
      </w:r>
    </w:p>
    <w:p>
      <w:pPr>
        <w:pStyle w:val="ListBullet"/>
      </w:pPr>
      <w:r>
        <w:t>Приймання — приймальною комісією Замовника з оформленням акта.</w:t>
      </w:r>
    </w:p>
    <w:p/>
    <w:p/>
    <w:p>
      <w:pPr>
        <w:pStyle w:val="Heading1"/>
      </w:pPr>
      <w:r>
        <w:t>7. ВИМОГИ ДО ПІДГОТОВКИ ОБ'ЄКТА</w:t>
      </w:r>
    </w:p>
    <w:p/>
    <w:p>
      <w:pPr>
        <w:pStyle w:val="ListBullet"/>
      </w:pPr>
      <w:r>
        <w:t>Наявність у Замовника ≥2 продуктів (A1/A2/A3) з працездатними інтеграційними адаптерами.</w:t>
      </w:r>
    </w:p>
    <w:p>
      <w:pPr>
        <w:pStyle w:val="ListBullet"/>
      </w:pPr>
      <w:r>
        <w:t>Узгодження власниками продуктів реєстру контрактів подій і календаря режимів.</w:t>
      </w:r>
    </w:p>
    <w:p>
      <w:pPr>
        <w:pStyle w:val="ListBullet"/>
      </w:pPr>
      <w:r>
        <w:t>Етап-1 — несекретний контур; Етап-2 — захищений/ізольований контур під КСЗІ.</w:t>
      </w:r>
    </w:p>
    <w:p>
      <w:pPr>
        <w:pStyle w:val="ListBullet"/>
      </w:pPr>
      <w:r>
        <w:t>Затвердження матриці наскрізних допусків RBAC (роздільні допуски на кожен продукт).</w:t>
      </w:r>
    </w:p>
    <w:p>
      <w:pPr>
        <w:pStyle w:val="ListBullet"/>
      </w:pPr>
      <w:r>
        <w:t>Призначення відповідальних; для Етапу-2 — оформлення допусків до державної таємниці.</w:t>
      </w:r>
    </w:p>
    <w:p/>
    <w:p/>
    <w:p>
      <w:pPr>
        <w:pStyle w:val="Heading1"/>
      </w:pPr>
      <w:r>
        <w:t>8. ВИМОГИ ДО ДОКУМЕНТУВАННЯ</w:t>
      </w:r>
    </w:p>
    <w:p/>
    <w:p>
      <w:r>
        <w:t>Документація — українською мовою за ГОСТ 34:</w:t>
      </w:r>
    </w:p>
    <w:p>
      <w:pPr>
        <w:pStyle w:val="ListBullet"/>
      </w:pPr>
      <w:r>
        <w:t>це рамкове ТЗ на Інтеграційний шар;</w:t>
      </w:r>
    </w:p>
    <w:p>
      <w:pPr>
        <w:pStyle w:val="ListBullet"/>
      </w:pPr>
      <w:r>
        <w:t>опис архітектури Шини, реєстру контрактів подій і моделі підписок;</w:t>
      </w:r>
    </w:p>
    <w:p>
      <w:pPr>
        <w:pStyle w:val="ListBullet"/>
      </w:pPr>
      <w:r>
        <w:t>опис наскрізної моделі RBAC (роздільні допуски) і журналу кореляції;</w:t>
      </w:r>
    </w:p>
    <w:p>
      <w:pPr>
        <w:pStyle w:val="ListBullet"/>
      </w:pPr>
      <w:r>
        <w:t>програма та методики випробувань (вкл. сценарій 2.4 і тест автономності), протоколи й акти;</w:t>
      </w:r>
    </w:p>
    <w:p>
      <w:pPr>
        <w:pStyle w:val="ListBullet"/>
      </w:pPr>
      <w:r>
        <w:t>керівництво адміністратора наскрізного RBAC; керівництво з підключення продукту до Шини;</w:t>
      </w:r>
    </w:p>
    <w:p>
      <w:pPr>
        <w:pStyle w:val="ListBullet"/>
      </w:pPr>
      <w:r>
        <w:t>документація з безпеки: проект КСЗІ каналу обміну, матеріали атестації, відповідність НД ТЗІ (Етап-2).</w:t>
      </w:r>
    </w:p>
    <w:p>
      <w:r>
        <w:t>Документи з грифом «цілком таємно» (Етап-2) оформлюються за режимними вимогами.</w:t>
      </w:r>
    </w:p>
    <w:p/>
    <w:p/>
    <w:p>
      <w:pPr>
        <w:pStyle w:val="Heading1"/>
      </w:pPr>
      <w:r>
        <w:t>9. ДЖЕРЕЛА РОЗРОБКИ</w:t>
      </w:r>
    </w:p>
    <w:p/>
    <w:p>
      <w:pPr>
        <w:pStyle w:val="ListBullet"/>
      </w:pPr>
      <w:r>
        <w:t>ДСТУ ГОСТ 34.602 та комплекс стандартів ГОСТ 34 на АС;</w:t>
      </w:r>
    </w:p>
    <w:p>
      <w:pPr>
        <w:pStyle w:val="ListBullet"/>
      </w:pPr>
      <w:r>
        <w:t>окремі ТЗ на продукти A1, A2, A3 (визначають предметні події, що публікуються в Шину);</w:t>
      </w:r>
    </w:p>
    <w:p>
      <w:pPr>
        <w:pStyle w:val="ListBullet"/>
      </w:pPr>
      <w:r>
        <w:t>Закон України «Про державну таємницю»; ЗВДТ;</w:t>
      </w:r>
    </w:p>
    <w:p>
      <w:pPr>
        <w:pStyle w:val="ListBullet"/>
      </w:pPr>
      <w:r>
        <w:t>Нормативні документи системи технічного захисту інформації (НД ТЗІ) України; вимоги до КСЗІ;</w:t>
      </w:r>
    </w:p>
    <w:p>
      <w:pPr>
        <w:pStyle w:val="ListBullet"/>
      </w:pPr>
      <w:r>
        <w:t>Документи ENTSO-E (Transparency Platform як джерело відкритих даних Етапу-1);</w:t>
      </w:r>
    </w:p>
    <w:p>
      <w:pPr>
        <w:pStyle w:val="ListBullet"/>
      </w:pPr>
      <w:r>
        <w:t>Внутрішні регламенти та режимні дані НЕК «Укренерго» (Етап-2, NDA).</w:t>
      </w:r>
    </w:p>
    <w:p/>
    <w:p>
      <w:r>
        <w:t>Файл рамкового ТЗ (готовий текст вище) призначений для збереження за адресою: D:\ВС коде вайбкодинг\Укренерго\deliverables\ — як окремий документ інтеграційного шару.</w:t>
      </w:r>
    </w:p>
    <w:p>
      <w:r>
        <w:br w:type="page"/>
      </w:r>
    </w:p>
    <w:p>
      <w:pPr>
        <w:jc w:val="left"/>
      </w:pPr>
      <w:r>
        <w:rPr>
          <w:b/>
        </w:rPr>
        <w:t>Відомості про виконавців:</w:t>
      </w:r>
    </w:p>
    <w:p>
      <w:r>
        <w:rPr>
          <w:sz w:val="18"/>
        </w:rPr>
        <w:t>____________________  (Прізвище І. П.)</w:t>
        <w:br/>
        <w:t>тел. (___) ___-__-__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40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